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FY 2026:  Declaration of Participation Report</w: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rPr>
          <w:sz w:val="18"/>
          <w:szCs w:val="18"/>
        </w:rPr>
      </w:pPr>
      <w:r w:rsidDel="00000000" w:rsidR="00000000" w:rsidRPr="00000000">
        <w:rPr>
          <w:sz w:val="18"/>
          <w:szCs w:val="18"/>
        </w:rPr>
        <w:drawing>
          <wp:inline distB="114300" distT="114300" distL="114300" distR="114300">
            <wp:extent cx="5943600" cy="20320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0320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sz w:val="18"/>
          <w:szCs w:val="18"/>
        </w:rPr>
        <w:drawing>
          <wp:inline distB="114300" distT="114300" distL="114300" distR="114300">
            <wp:extent cx="2724150" cy="3810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724150"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sz w:val="18"/>
          <w:szCs w:val="18"/>
        </w:rPr>
      </w:pPr>
      <w:r w:rsidDel="00000000" w:rsidR="00000000" w:rsidRPr="00000000">
        <w:rPr>
          <w:rtl w:val="0"/>
        </w:rPr>
      </w:r>
    </w:p>
    <w:tbl>
      <w:tblPr>
        <w:tblStyle w:val="Table1"/>
        <w:tblW w:w="9360.0" w:type="dxa"/>
        <w:jc w:val="left"/>
        <w:tblBorders>
          <w:top w:color="9e9e9e" w:space="0" w:sz="7" w:val="single"/>
          <w:left w:color="9e9e9e" w:space="0" w:sz="7" w:val="single"/>
          <w:bottom w:color="9e9e9e" w:space="0" w:sz="7" w:val="single"/>
          <w:right w:color="9e9e9e" w:space="0" w:sz="7" w:val="single"/>
          <w:insideH w:color="9e9e9e" w:space="0" w:sz="7" w:val="single"/>
          <w:insideV w:color="9e9e9e" w:space="0" w:sz="7" w:val="single"/>
        </w:tblBorders>
        <w:tblLayout w:type="fixed"/>
        <w:tblLook w:val="0600"/>
      </w:tblPr>
      <w:tblGrid>
        <w:gridCol w:w="239.4418604651163"/>
        <w:gridCol w:w="9120.558139534884"/>
        <w:tblGridChange w:id="0">
          <w:tblGrid>
            <w:gridCol w:w="239.4418604651163"/>
            <w:gridCol w:w="9120.558139534884"/>
          </w:tblGrid>
        </w:tblGridChange>
      </w:tblGrid>
      <w:tr>
        <w:trPr>
          <w:cantSplit w:val="0"/>
          <w:trHeight w:val="1350" w:hRule="atLeast"/>
          <w:tblHeader w:val="0"/>
        </w:trPr>
        <w:tc>
          <w:tcPr>
            <w:tcBorders>
              <w:top w:color="9e9e9e" w:space="0" w:sz="7" w:val="single"/>
              <w:left w:color="9e9e9e" w:space="0" w:sz="7" w:val="single"/>
              <w:bottom w:color="9e9e9e" w:space="0" w:sz="7" w:val="single"/>
              <w:right w:color="9e9e9e" w:space="0" w:sz="7" w:val="single"/>
            </w:tcBorders>
            <w:tcMar>
              <w:top w:w="80.0" w:type="dxa"/>
              <w:left w:w="80.0" w:type="dxa"/>
              <w:bottom w:w="80.0" w:type="dxa"/>
              <w:right w:w="80.0" w:type="dxa"/>
            </w:tcMar>
            <w:vAlign w:val="top"/>
          </w:tcPr>
          <w:p w:rsidR="00000000" w:rsidDel="00000000" w:rsidP="00000000" w:rsidRDefault="00000000" w:rsidRPr="00000000" w14:paraId="0000000A">
            <w:pPr>
              <w:rPr>
                <w:sz w:val="18"/>
                <w:szCs w:val="18"/>
              </w:rPr>
            </w:pPr>
            <w:r w:rsidDel="00000000" w:rsidR="00000000" w:rsidRPr="00000000">
              <w:rPr>
                <w:sz w:val="18"/>
                <w:szCs w:val="18"/>
                <w:rtl w:val="0"/>
              </w:rPr>
              <w:t xml:space="preserve">1.</w:t>
            </w:r>
          </w:p>
        </w:tc>
        <w:tc>
          <w:tcPr>
            <w:tcBorders>
              <w:top w:color="9e9e9e" w:space="0" w:sz="7" w:val="single"/>
              <w:left w:color="9e9e9e" w:space="0" w:sz="7" w:val="single"/>
              <w:bottom w:color="9e9e9e" w:space="0" w:sz="7" w:val="single"/>
              <w:right w:color="9e9e9e" w:space="0" w:sz="7" w:val="single"/>
            </w:tcBorders>
            <w:tcMar>
              <w:top w:w="80.0" w:type="dxa"/>
              <w:left w:w="80.0" w:type="dxa"/>
              <w:bottom w:w="80.0" w:type="dxa"/>
              <w:right w:w="80.0" w:type="dxa"/>
            </w:tcMar>
            <w:vAlign w:val="top"/>
          </w:tcPr>
          <w:p w:rsidR="00000000" w:rsidDel="00000000" w:rsidP="00000000" w:rsidRDefault="00000000" w:rsidRPr="00000000" w14:paraId="0000000B">
            <w:pPr>
              <w:rPr>
                <w:sz w:val="18"/>
                <w:szCs w:val="18"/>
              </w:rPr>
            </w:pPr>
            <w:r w:rsidDel="00000000" w:rsidR="00000000" w:rsidRPr="00000000">
              <w:rPr>
                <w:sz w:val="18"/>
                <w:szCs w:val="18"/>
                <w:rtl w:val="0"/>
              </w:rPr>
              <w:t xml:space="preserve">The District will participate for SY 2025-2026 in the identified federal programs as indicated in District Board of Education section of this application.</w:t>
            </w:r>
          </w:p>
          <w:tbl>
            <w:tblPr>
              <w:tblStyle w:val="Table2"/>
              <w:tblW w:w="7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5"/>
              <w:tblGridChange w:id="0">
                <w:tblGrid>
                  <w:gridCol w:w="735"/>
                </w:tblGrid>
              </w:tblGridChange>
            </w:tblGrid>
            <w:tr>
              <w:trPr>
                <w:cantSplit w:val="0"/>
                <w:trHeight w:val="390" w:hRule="atLeast"/>
                <w:tblHeader w:val="0"/>
              </w:trPr>
              <w:tc>
                <w:tcPr>
                  <w:tcBorders>
                    <w:top w:color="000000" w:space="0" w:sz="0" w:val="nil"/>
                    <w:left w:color="000000" w:space="0" w:sz="0" w:val="nil"/>
                    <w:bottom w:color="000000" w:space="0" w:sz="0" w:val="nil"/>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00C">
                  <w:pPr>
                    <w:rPr>
                      <w:sz w:val="18"/>
                      <w:szCs w:val="18"/>
                    </w:rPr>
                  </w:pPr>
                  <w:r w:rsidDel="00000000" w:rsidR="00000000" w:rsidRPr="00000000">
                    <w:rPr>
                      <w:sz w:val="18"/>
                      <w:szCs w:val="18"/>
                      <w:rtl w:val="0"/>
                    </w:rPr>
                    <w:t xml:space="preserve">X  Yes</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00D">
                  <w:pPr>
                    <w:rPr>
                      <w:sz w:val="18"/>
                      <w:szCs w:val="18"/>
                    </w:rPr>
                  </w:pPr>
                  <w:r w:rsidDel="00000000" w:rsidR="00000000" w:rsidRPr="00000000">
                    <w:rPr>
                      <w:sz w:val="18"/>
                      <w:szCs w:val="18"/>
                      <w:rtl w:val="0"/>
                    </w:rPr>
                    <w:t xml:space="preserve">     No</w:t>
                  </w:r>
                </w:p>
              </w:tc>
            </w:tr>
            <w:tr>
              <w:trPr>
                <w:cantSplit w:val="0"/>
                <w:trHeight w:val="120" w:hRule="atLeast"/>
                <w:tblHeader w:val="0"/>
              </w:trPr>
              <w:tc>
                <w:tcPr>
                  <w:tcBorders>
                    <w:top w:color="000000" w:space="0" w:sz="0" w:val="nil"/>
                    <w:left w:color="000000" w:space="0" w:sz="0" w:val="nil"/>
                    <w:bottom w:color="000000" w:space="0" w:sz="0" w:val="nil"/>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00E">
                  <w:pPr>
                    <w:rPr>
                      <w:sz w:val="18"/>
                      <w:szCs w:val="18"/>
                    </w:rPr>
                  </w:pPr>
                  <w:r w:rsidDel="00000000" w:rsidR="00000000" w:rsidRPr="00000000">
                    <w:rPr>
                      <w:rtl w:val="0"/>
                    </w:rPr>
                  </w:r>
                </w:p>
              </w:tc>
            </w:tr>
          </w:tbl>
          <w:p w:rsidR="00000000" w:rsidDel="00000000" w:rsidP="00000000" w:rsidRDefault="00000000" w:rsidRPr="00000000" w14:paraId="0000000F">
            <w:pPr>
              <w:rPr>
                <w:sz w:val="18"/>
                <w:szCs w:val="18"/>
              </w:rPr>
            </w:pPr>
            <w:r w:rsidDel="00000000" w:rsidR="00000000" w:rsidRPr="00000000">
              <w:rPr>
                <w:rtl w:val="0"/>
              </w:rPr>
            </w:r>
          </w:p>
        </w:tc>
      </w:tr>
      <w:tr>
        <w:trPr>
          <w:cantSplit w:val="0"/>
          <w:trHeight w:val="780" w:hRule="atLeast"/>
          <w:tblHeader w:val="0"/>
        </w:trPr>
        <w:tc>
          <w:tcPr>
            <w:tcBorders>
              <w:top w:color="9e9e9e" w:space="0" w:sz="7" w:val="single"/>
              <w:left w:color="9e9e9e" w:space="0" w:sz="7" w:val="single"/>
              <w:bottom w:color="9e9e9e" w:space="0" w:sz="7" w:val="single"/>
              <w:right w:color="9e9e9e" w:space="0" w:sz="7" w:val="single"/>
            </w:tcBorders>
            <w:shd w:fill="cce2f2" w:val="clear"/>
            <w:tcMar>
              <w:top w:w="80.0" w:type="dxa"/>
              <w:left w:w="80.0" w:type="dxa"/>
              <w:bottom w:w="80.0" w:type="dxa"/>
              <w:right w:w="80.0" w:type="dxa"/>
            </w:tcMar>
            <w:vAlign w:val="top"/>
          </w:tcPr>
          <w:p w:rsidR="00000000" w:rsidDel="00000000" w:rsidP="00000000" w:rsidRDefault="00000000" w:rsidRPr="00000000" w14:paraId="00000010">
            <w:pPr>
              <w:rPr>
                <w:sz w:val="18"/>
                <w:szCs w:val="18"/>
              </w:rPr>
            </w:pPr>
            <w:r w:rsidDel="00000000" w:rsidR="00000000" w:rsidRPr="00000000">
              <w:rPr>
                <w:sz w:val="18"/>
                <w:szCs w:val="18"/>
                <w:rtl w:val="0"/>
              </w:rPr>
              <w:t xml:space="preserve">2.</w:t>
            </w:r>
          </w:p>
        </w:tc>
        <w:tc>
          <w:tcPr>
            <w:tcBorders>
              <w:top w:color="9e9e9e" w:space="0" w:sz="7" w:val="single"/>
              <w:left w:color="9e9e9e" w:space="0" w:sz="7" w:val="single"/>
              <w:bottom w:color="9e9e9e" w:space="0" w:sz="7" w:val="single"/>
              <w:right w:color="9e9e9e" w:space="0" w:sz="7" w:val="single"/>
            </w:tcBorders>
            <w:shd w:fill="cce2f2" w:val="clear"/>
            <w:tcMar>
              <w:top w:w="80.0" w:type="dxa"/>
              <w:left w:w="80.0" w:type="dxa"/>
              <w:bottom w:w="80.0" w:type="dxa"/>
              <w:right w:w="80.0" w:type="dxa"/>
            </w:tcMar>
            <w:vAlign w:val="top"/>
          </w:tcPr>
          <w:p w:rsidR="00000000" w:rsidDel="00000000" w:rsidP="00000000" w:rsidRDefault="00000000" w:rsidRPr="00000000" w14:paraId="00000011">
            <w:pPr>
              <w:rPr>
                <w:sz w:val="18"/>
                <w:szCs w:val="18"/>
              </w:rPr>
            </w:pPr>
            <w:r w:rsidDel="00000000" w:rsidR="00000000" w:rsidRPr="00000000">
              <w:rPr>
                <w:sz w:val="18"/>
                <w:szCs w:val="18"/>
                <w:rtl w:val="0"/>
              </w:rPr>
              <w:t xml:space="preserve">All private non-profit schools and home schools physically located in the public district's geographic boundaries have been notified by certified mail or other signed documentation of the purposes and benefits of, and given equitable opportunity to participate in, the federal Title II Part A, Title III EL/Immigrant, Title IV and IDEA-B programs.</w:t>
            </w:r>
          </w:p>
        </w:tc>
      </w:tr>
      <w:tr>
        <w:trPr>
          <w:cantSplit w:val="0"/>
          <w:trHeight w:val="585" w:hRule="atLeast"/>
          <w:tblHeader w:val="0"/>
        </w:trPr>
        <w:tc>
          <w:tcPr>
            <w:tcBorders>
              <w:top w:color="9e9e9e" w:space="0" w:sz="7" w:val="single"/>
              <w:left w:color="9e9e9e" w:space="0" w:sz="7" w:val="single"/>
              <w:bottom w:color="9e9e9e" w:space="0" w:sz="7" w:val="single"/>
              <w:right w:color="9e9e9e" w:space="0" w:sz="7" w:val="single"/>
            </w:tcBorders>
            <w:tcMar>
              <w:top w:w="80.0" w:type="dxa"/>
              <w:left w:w="80.0" w:type="dxa"/>
              <w:bottom w:w="80.0" w:type="dxa"/>
              <w:right w:w="80.0" w:type="dxa"/>
            </w:tcMar>
            <w:vAlign w:val="top"/>
          </w:tcPr>
          <w:p w:rsidR="00000000" w:rsidDel="00000000" w:rsidP="00000000" w:rsidRDefault="00000000" w:rsidRPr="00000000" w14:paraId="00000012">
            <w:pPr>
              <w:rPr>
                <w:sz w:val="18"/>
                <w:szCs w:val="18"/>
              </w:rPr>
            </w:pPr>
            <w:r w:rsidDel="00000000" w:rsidR="00000000" w:rsidRPr="00000000">
              <w:rPr>
                <w:sz w:val="18"/>
                <w:szCs w:val="18"/>
                <w:rtl w:val="0"/>
              </w:rPr>
              <w:t xml:space="preserve">3.</w:t>
            </w:r>
          </w:p>
        </w:tc>
        <w:tc>
          <w:tcPr>
            <w:tcBorders>
              <w:top w:color="9e9e9e" w:space="0" w:sz="7" w:val="single"/>
              <w:left w:color="9e9e9e" w:space="0" w:sz="7" w:val="single"/>
              <w:bottom w:color="9e9e9e" w:space="0" w:sz="7" w:val="single"/>
              <w:right w:color="9e9e9e" w:space="0" w:sz="7" w:val="single"/>
            </w:tcBorders>
            <w:tcMar>
              <w:top w:w="80.0" w:type="dxa"/>
              <w:left w:w="80.0" w:type="dxa"/>
              <w:bottom w:w="80.0" w:type="dxa"/>
              <w:right w:w="80.0" w:type="dxa"/>
            </w:tcMar>
            <w:vAlign w:val="top"/>
          </w:tcPr>
          <w:p w:rsidR="00000000" w:rsidDel="00000000" w:rsidP="00000000" w:rsidRDefault="00000000" w:rsidRPr="00000000" w14:paraId="00000013">
            <w:pPr>
              <w:rPr>
                <w:sz w:val="18"/>
                <w:szCs w:val="18"/>
              </w:rPr>
            </w:pPr>
            <w:r w:rsidDel="00000000" w:rsidR="00000000" w:rsidRPr="00000000">
              <w:rPr>
                <w:sz w:val="18"/>
                <w:szCs w:val="18"/>
                <w:rtl w:val="0"/>
              </w:rPr>
              <w:t xml:space="preserve">Signed Private Nonprofit Schools and Home Schools Declaration of Participation forms are on file in the local board of education office documenting the stated numbers of participating private, non-profit school and home school students.</w:t>
            </w:r>
          </w:p>
        </w:tc>
      </w:tr>
      <w:tr>
        <w:trPr>
          <w:cantSplit w:val="0"/>
          <w:trHeight w:val="585" w:hRule="atLeast"/>
          <w:tblHeader w:val="0"/>
        </w:trPr>
        <w:tc>
          <w:tcPr>
            <w:tcBorders>
              <w:top w:color="9e9e9e" w:space="0" w:sz="7" w:val="single"/>
              <w:left w:color="9e9e9e" w:space="0" w:sz="7" w:val="single"/>
              <w:bottom w:color="9e9e9e" w:space="0" w:sz="7" w:val="single"/>
              <w:right w:color="9e9e9e" w:space="0" w:sz="7" w:val="single"/>
            </w:tcBorders>
            <w:tcMar>
              <w:top w:w="80.0" w:type="dxa"/>
              <w:left w:w="80.0" w:type="dxa"/>
              <w:bottom w:w="80.0" w:type="dxa"/>
              <w:right w:w="80.0" w:type="dxa"/>
            </w:tcMar>
            <w:vAlign w:val="top"/>
          </w:tcPr>
          <w:p w:rsidR="00000000" w:rsidDel="00000000" w:rsidP="00000000" w:rsidRDefault="00000000" w:rsidRPr="00000000" w14:paraId="00000014">
            <w:pPr>
              <w:rPr>
                <w:sz w:val="18"/>
                <w:szCs w:val="18"/>
              </w:rPr>
            </w:pPr>
            <w:r w:rsidDel="00000000" w:rsidR="00000000" w:rsidRPr="00000000">
              <w:rPr>
                <w:sz w:val="18"/>
                <w:szCs w:val="18"/>
                <w:rtl w:val="0"/>
              </w:rPr>
              <w:t xml:space="preserve">4.</w:t>
            </w:r>
          </w:p>
        </w:tc>
        <w:tc>
          <w:tcPr>
            <w:tcBorders>
              <w:top w:color="9e9e9e" w:space="0" w:sz="7" w:val="single"/>
              <w:left w:color="9e9e9e" w:space="0" w:sz="7" w:val="single"/>
              <w:bottom w:color="9e9e9e" w:space="0" w:sz="7" w:val="single"/>
              <w:right w:color="9e9e9e" w:space="0" w:sz="7" w:val="single"/>
            </w:tcBorders>
            <w:tcMar>
              <w:top w:w="80.0" w:type="dxa"/>
              <w:left w:w="80.0" w:type="dxa"/>
              <w:bottom w:w="80.0" w:type="dxa"/>
              <w:right w:w="80.0" w:type="dxa"/>
            </w:tcMar>
            <w:vAlign w:val="top"/>
          </w:tcPr>
          <w:p w:rsidR="00000000" w:rsidDel="00000000" w:rsidP="00000000" w:rsidRDefault="00000000" w:rsidRPr="00000000" w14:paraId="00000015">
            <w:pPr>
              <w:rPr>
                <w:sz w:val="18"/>
                <w:szCs w:val="18"/>
              </w:rPr>
            </w:pPr>
            <w:r w:rsidDel="00000000" w:rsidR="00000000" w:rsidRPr="00000000">
              <w:rPr>
                <w:sz w:val="18"/>
                <w:szCs w:val="18"/>
                <w:rtl w:val="0"/>
              </w:rPr>
              <w:t xml:space="preserve">Any private school participating in the federal programs has filed with the district a signed assurance statement verifying an official non-profit status. Home schools, by their nature, are considered non-profit.</w:t>
            </w:r>
          </w:p>
        </w:tc>
      </w:tr>
    </w:tbl>
    <w:p w:rsidR="00000000" w:rsidDel="00000000" w:rsidP="00000000" w:rsidRDefault="00000000" w:rsidRPr="00000000" w14:paraId="00000016">
      <w:pPr>
        <w:rPr>
          <w:sz w:val="18"/>
          <w:szCs w:val="18"/>
          <w:shd w:fill="78b2dc"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1f7fb" w:val="clear"/>
    </w:tc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