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1"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351c75"/>
          <w:sz w:val="20"/>
          <w:szCs w:val="20"/>
        </w:rPr>
      </w:pPr>
      <w:r w:rsidDel="00000000" w:rsidR="00000000" w:rsidRPr="00000000">
        <w:rPr>
          <w:rFonts w:ascii="Times New Roman" w:cs="Times New Roman" w:eastAsia="Times New Roman" w:hAnsi="Times New Roman"/>
          <w:b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February 2025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CKLA lessons continue with fidelity across all grade levels.  We will have an all day CKLA training on February 26 to reinforce instructional delivery and ensure quality instruction for our students.</w:t>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Math teachers along with Mr. Davenport are going to visit Reidland Elementary school to observe their instruction in Mathematics using the program Bridges to mathematics.  DSES will have to adopt a new mathematics program for the 25/26 school year that is </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Our book study on  </w:t>
      </w:r>
      <w:r w:rsidDel="00000000" w:rsidR="00000000" w:rsidRPr="00000000">
        <w:rPr>
          <w:rFonts w:ascii="Calibri" w:cs="Calibri" w:eastAsia="Calibri" w:hAnsi="Calibri"/>
          <w:i w:val="1"/>
          <w:sz w:val="20"/>
          <w:szCs w:val="20"/>
          <w:rtl w:val="0"/>
        </w:rPr>
        <w:t xml:space="preserve">Focus Elevating the Essentials to Radically Improve Student Learning </w:t>
      </w:r>
      <w:r w:rsidDel="00000000" w:rsidR="00000000" w:rsidRPr="00000000">
        <w:rPr>
          <w:rFonts w:ascii="Calibri" w:cs="Calibri" w:eastAsia="Calibri" w:hAnsi="Calibri"/>
          <w:sz w:val="20"/>
          <w:szCs w:val="20"/>
          <w:rtl w:val="0"/>
        </w:rPr>
        <w:t xml:space="preserve">BY Mike Schmoker continues.   </w:t>
      </w:r>
      <w:r w:rsidDel="00000000" w:rsidR="00000000" w:rsidRPr="00000000">
        <w:rPr>
          <w:rtl w:val="0"/>
        </w:rPr>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3rd - 5th graders will participate in the second  Mock KSA assessment during March.</w:t>
      </w:r>
      <w:r w:rsidDel="00000000" w:rsidR="00000000" w:rsidRPr="00000000">
        <w:rPr>
          <w:rtl w:val="0"/>
        </w:rPr>
      </w:r>
    </w:p>
    <w:p w:rsidR="00000000" w:rsidDel="00000000" w:rsidP="00000000" w:rsidRDefault="00000000" w:rsidRPr="00000000" w14:paraId="00000011">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Tier 3 RTI data is still being monitored to ensure we are meeting the needs of all of our students.  </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Small group pull-outs are occurring daily to meet needs in both reading and math.</w:t>
      </w:r>
    </w:p>
    <w:p w:rsidR="00000000" w:rsidDel="00000000" w:rsidP="00000000" w:rsidRDefault="00000000" w:rsidRPr="00000000" w14:paraId="00000013">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KSA preparation continues</w:t>
      </w:r>
    </w:p>
    <w:p w:rsidR="00000000" w:rsidDel="00000000" w:rsidP="00000000" w:rsidRDefault="00000000" w:rsidRPr="00000000" w14:paraId="00000014">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Extended response questions are being administered weekly in tested grades</w:t>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Falling back on our Schmoker book study:  All classrooms are delivering more quality reading and writing opportunities across the curriculum areas.  Science and Social Studies continue to have writing experiences for our students in grades 3-5.  </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Lower primary teachers continue to deliver high rigor in the rooms with CKLA being a huge help in this area.</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2025/2026 Plans are starting to get underway</w:t>
      </w:r>
    </w:p>
    <w:p w:rsidR="00000000" w:rsidDel="00000000" w:rsidP="00000000" w:rsidRDefault="00000000" w:rsidRPr="00000000" w14:paraId="00000018">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Enrollment looks really good even now with our projected PK students transitioning into Kindergarten next year.</w:t>
      </w:r>
    </w:p>
    <w:p w:rsidR="00000000" w:rsidDel="00000000" w:rsidP="00000000" w:rsidRDefault="00000000" w:rsidRPr="00000000" w14:paraId="00000019">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B">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Parent Teacher conferences will be rescheduled due to the snow last week.</w:t>
      </w:r>
    </w:p>
    <w:p w:rsidR="00000000" w:rsidDel="00000000" w:rsidP="00000000" w:rsidRDefault="00000000" w:rsidRPr="00000000" w14:paraId="0000001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DSES Academic Team coach is Jessica Graham and FPS coach is Tamara Stephens</w:t>
      </w:r>
    </w:p>
    <w:p w:rsidR="00000000" w:rsidDel="00000000" w:rsidP="00000000" w:rsidRDefault="00000000" w:rsidRPr="00000000" w14:paraId="0000001D">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2/24/25 - DSES Academic Team will compete at West Broadway Elementary School</w:t>
      </w:r>
    </w:p>
    <w:p w:rsidR="00000000" w:rsidDel="00000000" w:rsidP="00000000" w:rsidRDefault="00000000" w:rsidRPr="00000000" w14:paraId="0000001E">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3/1/25 - DSES Academic Team Future Problem Solving Team will compete at West Broadway Elementary School</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Oep4FJgyajLOBv31LTrWAxIng==">CgMxLjAyCGguZ2pkZ3hzMg5oLjFpaHVrMmgydjdsdjIOaC44dWt4c3BlNHNzZzkyDmguZmEzNG8xZDNzNmxqOAByITFnUDNjamZVam1JS2JGdE1zRVFOSllQVkR3cVFQazlwSQ==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