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 1/16/2025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District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-2025 Comprehensive District Improvement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color w:val="808080"/>
          <w:rtl w:val="0"/>
        </w:rPr>
        <w:t xml:space="preserve">01.111 - District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 703 KAR 5:225, each Kentucky school district shall develop, review, and revise a comprehensive school district improvement plan, (CSIP).  Per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Board Policy 01.14, the Comprehensive District Improvement Plan (CDIP), shall be presented to the Board annually for approval.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    *If more than one funding source, list below along with amount or percent for each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color w:val="00000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the Plan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Detwiler, Deputy Superintendent/CAO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semiHidden w:val="1"/>
    <w:unhideWhenUsed w:val="1"/>
    <w:rsid w:val="003A578F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zzZrjnX7vfvaYC5vW43621VxQ==">CgMxLjA4AHIhMUdNNjRoZ3FId0NwZ1B3dnB2OWlIRGY5YnBRcVJPeTlk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2024-12-19T19:39:00Z</dcterms:created>
  <dc:creator>Staff</dc:creator>
</cp:coreProperties>
</file>