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1CF4" w14:textId="71F63017" w:rsidR="00CE5DCB" w:rsidRDefault="00CE5DCB" w:rsidP="00CE5DCB">
      <w:pPr>
        <w:pStyle w:val="Heading1"/>
      </w:pPr>
      <w:r>
        <w:t>PERSONNEL</w:t>
      </w:r>
      <w:r>
        <w:tab/>
        <w:t>03.1236</w:t>
      </w:r>
    </w:p>
    <w:p w14:paraId="12D483C0" w14:textId="77777777" w:rsidR="00CE5DCB" w:rsidRDefault="00CE5DCB" w:rsidP="00CE5DCB">
      <w:pPr>
        <w:pStyle w:val="certstyle"/>
      </w:pPr>
      <w:r>
        <w:t>-Certified Personnel-</w:t>
      </w:r>
    </w:p>
    <w:p w14:paraId="7DCF1EAF" w14:textId="77777777" w:rsidR="00CE5DCB" w:rsidRDefault="00CE5DCB" w:rsidP="00CE5DCB">
      <w:pPr>
        <w:pStyle w:val="policytitle"/>
        <w:spacing w:before="60" w:after="120"/>
      </w:pPr>
      <w:r>
        <w:t>Emergency Leave</w:t>
      </w:r>
    </w:p>
    <w:p w14:paraId="0DD919C9" w14:textId="77777777" w:rsidR="00CE5DCB" w:rsidRDefault="00CE5DCB" w:rsidP="00CE5DCB">
      <w:pPr>
        <w:pStyle w:val="sideheading"/>
        <w:spacing w:after="80"/>
      </w:pPr>
      <w:r>
        <w:t>Number of Days</w:t>
      </w:r>
    </w:p>
    <w:p w14:paraId="5CBEF162" w14:textId="6E9A7B12" w:rsidR="00CE5DCB" w:rsidRDefault="00CE5DCB" w:rsidP="00CE5DCB">
      <w:pPr>
        <w:pStyle w:val="policytext"/>
        <w:spacing w:after="80"/>
      </w:pPr>
      <w:r>
        <w:t>Full</w:t>
      </w:r>
      <w:r>
        <w:noBreakHyphen/>
        <w:t>time certified employees shall be entitled to</w:t>
      </w:r>
      <w:r w:rsidR="00B52C18">
        <w:t xml:space="preserve"> </w:t>
      </w:r>
      <w:r w:rsidR="00B52C18" w:rsidRPr="00B52C18">
        <w:rPr>
          <w:color w:val="FF0000"/>
        </w:rPr>
        <w:t>one (1) day</w:t>
      </w:r>
      <w:r w:rsidRPr="00B52C18">
        <w:rPr>
          <w:color w:val="FF0000"/>
        </w:rPr>
        <w:t xml:space="preserve"> </w:t>
      </w:r>
      <w:r w:rsidRPr="00B52C18">
        <w:rPr>
          <w:strike/>
        </w:rPr>
        <w:t>three (3) days</w:t>
      </w:r>
      <w:r>
        <w:t xml:space="preserve"> of emergency leave with pay each school year.</w:t>
      </w:r>
    </w:p>
    <w:p w14:paraId="243F33BD" w14:textId="20CC8DAE" w:rsidR="00CE5DCB" w:rsidRDefault="00CE5DCB" w:rsidP="00CE5DCB">
      <w:pPr>
        <w:pStyle w:val="policytext"/>
        <w:spacing w:after="80"/>
      </w:pPr>
      <w:r>
        <w:t xml:space="preserve">Persons employed for less than a full year contract shall receive a </w:t>
      </w:r>
      <w:r w:rsidR="001D5A9F">
        <w:t>pro rata</w:t>
      </w:r>
      <w:r>
        <w:t xml:space="preserve"> part of the authorized emergency leave days calculated to the nearest one-half (1/2) day.</w:t>
      </w:r>
    </w:p>
    <w:p w14:paraId="27B0AC28" w14:textId="328866C6" w:rsidR="00CE5DCB" w:rsidRDefault="00CE5DCB" w:rsidP="00CE5DCB">
      <w:pPr>
        <w:pStyle w:val="policytext"/>
        <w:spacing w:after="80"/>
      </w:pPr>
      <w:r>
        <w:t xml:space="preserve">Persons employed on a </w:t>
      </w:r>
      <w:r w:rsidR="001D5A9F">
        <w:t>full-year</w:t>
      </w:r>
      <w:r>
        <w:t xml:space="preserve"> contract but scheduled for less than a full </w:t>
      </w:r>
      <w:r w:rsidR="001D5A9F">
        <w:t>workday</w:t>
      </w:r>
      <w:r>
        <w:t xml:space="preserve"> shall receive the authorized emergency leave days equivalent to their normal working day.</w:t>
      </w:r>
    </w:p>
    <w:p w14:paraId="3FC953D9" w14:textId="77777777" w:rsidR="00CE5DCB" w:rsidRDefault="00CE5DCB" w:rsidP="00CE5DCB">
      <w:pPr>
        <w:pStyle w:val="policytext"/>
        <w:spacing w:after="80"/>
      </w:pPr>
      <w:r>
        <w:t>Emergency leave shall be granted for the following reasons:</w:t>
      </w:r>
    </w:p>
    <w:p w14:paraId="29A27317" w14:textId="77777777" w:rsidR="00CE5DCB" w:rsidRDefault="00CE5DCB" w:rsidP="00CE5DCB">
      <w:pPr>
        <w:pStyle w:val="sideheading"/>
        <w:spacing w:after="80"/>
      </w:pPr>
      <w:r>
        <w:t>Bereavement</w:t>
      </w:r>
    </w:p>
    <w:p w14:paraId="5826093A" w14:textId="77777777" w:rsidR="00CE5DCB" w:rsidRPr="003E1FDF" w:rsidRDefault="00CE5DCB" w:rsidP="00CE5DCB">
      <w:pPr>
        <w:pStyle w:val="policytext"/>
        <w:spacing w:after="80"/>
        <w:rPr>
          <w:b/>
        </w:rPr>
      </w:pPr>
      <w:r>
        <w:t xml:space="preserve">Death of </w:t>
      </w:r>
      <w:r w:rsidRPr="0025164F">
        <w:rPr>
          <w:rStyle w:val="ksbanormal"/>
        </w:rPr>
        <w:t>a relative</w:t>
      </w:r>
      <w:r w:rsidRPr="003F15E6">
        <w:rPr>
          <w:rStyle w:val="ksbanormal"/>
        </w:rPr>
        <w:t>.</w:t>
      </w:r>
    </w:p>
    <w:p w14:paraId="463CE809" w14:textId="77777777" w:rsidR="00CE5DCB" w:rsidRDefault="00CE5DCB" w:rsidP="00CE5DCB">
      <w:pPr>
        <w:pStyle w:val="sideheading"/>
        <w:spacing w:after="80"/>
      </w:pPr>
      <w:r>
        <w:t>Disasters</w:t>
      </w:r>
    </w:p>
    <w:p w14:paraId="299E85AD" w14:textId="77777777" w:rsidR="00CE5DCB" w:rsidRDefault="00CE5DCB" w:rsidP="00CE5DCB">
      <w:pPr>
        <w:pStyle w:val="policytext"/>
        <w:spacing w:after="80"/>
      </w:pPr>
      <w:r>
        <w:t>Personal disasters of the magnitude of tornados, fires, floods, etc. This applies only in cases not covered by sick leave.</w:t>
      </w:r>
    </w:p>
    <w:p w14:paraId="417B009C" w14:textId="77777777" w:rsidR="00CE5DCB" w:rsidRDefault="00CE5DCB" w:rsidP="00CE5DCB">
      <w:pPr>
        <w:pStyle w:val="sideheading"/>
        <w:spacing w:after="80"/>
      </w:pPr>
      <w:r>
        <w:t>Court/Legal</w:t>
      </w:r>
    </w:p>
    <w:p w14:paraId="26D33472" w14:textId="4311E1DE" w:rsidR="00CE5DCB" w:rsidRDefault="00CE5DCB" w:rsidP="00CE5DCB">
      <w:pPr>
        <w:pStyle w:val="policytext"/>
        <w:spacing w:after="80"/>
      </w:pPr>
      <w:r>
        <w:t xml:space="preserve">Appearances as a witness or to produce documents when the employee's presence is required by subpoena. This is not to include appearances in actions in which the employee is a </w:t>
      </w:r>
      <w:r w:rsidR="001D5A9F">
        <w:t>party,</w:t>
      </w:r>
      <w:r>
        <w:t xml:space="preserve"> and the subpoena is obtained by or on behalf of the employee. This also does not include jury duty. (See policy 03.1237.)</w:t>
      </w:r>
    </w:p>
    <w:p w14:paraId="0F8FAFBE" w14:textId="77777777" w:rsidR="00CE5DCB" w:rsidRDefault="00CE5DCB" w:rsidP="00CE5DCB">
      <w:pPr>
        <w:pStyle w:val="sideheading"/>
        <w:spacing w:after="80"/>
      </w:pPr>
      <w:r>
        <w:t>Other</w:t>
      </w:r>
    </w:p>
    <w:p w14:paraId="1655B397" w14:textId="77777777" w:rsidR="00CE5DCB" w:rsidRDefault="00CE5DCB" w:rsidP="00CE5DCB">
      <w:pPr>
        <w:pStyle w:val="policytext"/>
        <w:spacing w:after="80"/>
      </w:pPr>
      <w:r>
        <w:t>Such other reasons of an emergency or extraordinary nature as approved by the Superintendent or designee.</w:t>
      </w:r>
    </w:p>
    <w:p w14:paraId="70D757BB" w14:textId="77777777" w:rsidR="00CE5DCB" w:rsidRDefault="00CE5DCB" w:rsidP="00CE5DCB">
      <w:pPr>
        <w:pStyle w:val="sideheading"/>
        <w:spacing w:after="80"/>
      </w:pPr>
      <w:r>
        <w:t>Request for Leave</w:t>
      </w:r>
    </w:p>
    <w:p w14:paraId="104DA3C3" w14:textId="77777777" w:rsidR="00CE5DCB" w:rsidRDefault="00CE5DCB" w:rsidP="00CE5DCB">
      <w:pPr>
        <w:pStyle w:val="policytext"/>
        <w:spacing w:after="80"/>
      </w:pPr>
      <w:r>
        <w:t xml:space="preserve">Emergency leave must be requested through the </w:t>
      </w:r>
      <w:r w:rsidRPr="003F15E6">
        <w:rPr>
          <w:rStyle w:val="ksbanormal"/>
        </w:rPr>
        <w:t>Superintendent</w:t>
      </w:r>
      <w:r>
        <w:t>, who will determine if the leave requested meets the Board's criteria.</w:t>
      </w:r>
    </w:p>
    <w:p w14:paraId="0D902903" w14:textId="77777777" w:rsidR="00CE5DCB" w:rsidRDefault="00CE5DCB" w:rsidP="00CE5DCB">
      <w:pPr>
        <w:pStyle w:val="sideheading"/>
        <w:spacing w:after="80"/>
      </w:pPr>
      <w:r>
        <w:t>Statement</w:t>
      </w:r>
    </w:p>
    <w:p w14:paraId="6E822244" w14:textId="77777777" w:rsidR="00CE5DCB" w:rsidRDefault="00CE5DCB" w:rsidP="00CE5DCB">
      <w:pPr>
        <w:pStyle w:val="policytext"/>
        <w:spacing w:after="80"/>
      </w:pPr>
      <w:r>
        <w:t>Persons taking emergency leave must file a personal statement upon their return to work stating the specific reasons for their absence.</w:t>
      </w:r>
    </w:p>
    <w:p w14:paraId="1169842A" w14:textId="77777777" w:rsidR="00CE5DCB" w:rsidRDefault="00CE5DCB" w:rsidP="00CE5DCB">
      <w:pPr>
        <w:pStyle w:val="sideheading"/>
        <w:spacing w:after="80"/>
      </w:pPr>
      <w:r>
        <w:t>Accumulation</w:t>
      </w:r>
    </w:p>
    <w:p w14:paraId="180003AC" w14:textId="77777777" w:rsidR="00CE5DCB" w:rsidRDefault="00CE5DCB" w:rsidP="00CE5DCB">
      <w:pPr>
        <w:pStyle w:val="policytext"/>
        <w:spacing w:after="80"/>
      </w:pPr>
      <w:r>
        <w:t>Emergency leave days not taken during the school year shall not accumulate.</w:t>
      </w:r>
    </w:p>
    <w:p w14:paraId="53998ABD" w14:textId="77777777" w:rsidR="00CE5DCB" w:rsidRDefault="00CE5DCB" w:rsidP="00CE5DCB">
      <w:pPr>
        <w:pStyle w:val="sideheading"/>
      </w:pPr>
      <w:r>
        <w:t>References:</w:t>
      </w:r>
    </w:p>
    <w:p w14:paraId="446C69C6" w14:textId="65C19F5A" w:rsidR="00CE5DCB" w:rsidRDefault="003F15E6" w:rsidP="00CE5DCB">
      <w:pPr>
        <w:pStyle w:val="Reference"/>
      </w:pPr>
      <w:hyperlink r:id="rId6" w:history="1">
        <w:r>
          <w:rPr>
            <w:rStyle w:val="Hyperlink"/>
          </w:rPr>
          <w:t>KRS 160.380</w:t>
        </w:r>
      </w:hyperlink>
      <w:r w:rsidR="00CE5DCB">
        <w:t xml:space="preserve">; </w:t>
      </w:r>
      <w:hyperlink r:id="rId7" w:history="1">
        <w:r>
          <w:rPr>
            <w:rStyle w:val="Hyperlink"/>
          </w:rPr>
          <w:t>KRS 161.152</w:t>
        </w:r>
      </w:hyperlink>
      <w:r w:rsidR="00CE5DCB">
        <w:t xml:space="preserve">; </w:t>
      </w:r>
      <w:hyperlink r:id="rId8" w:history="1">
        <w:r>
          <w:rPr>
            <w:rStyle w:val="Hyperlink"/>
          </w:rPr>
          <w:t>KRS 161.155</w:t>
        </w:r>
      </w:hyperlink>
    </w:p>
    <w:p w14:paraId="0E22A71A" w14:textId="329841B4" w:rsidR="00CE5DCB" w:rsidRDefault="003F15E6" w:rsidP="00CE5DCB">
      <w:pPr>
        <w:pStyle w:val="Reference"/>
      </w:pPr>
      <w:hyperlink r:id="rId9" w:history="1">
        <w:r>
          <w:rPr>
            <w:rStyle w:val="Hyperlink"/>
          </w:rPr>
          <w:t>OAG 72</w:t>
        </w:r>
        <w:r>
          <w:rPr>
            <w:rStyle w:val="Hyperlink"/>
          </w:rPr>
          <w:noBreakHyphen/>
          <w:t>348</w:t>
        </w:r>
      </w:hyperlink>
      <w:r w:rsidR="00CE5DCB">
        <w:t xml:space="preserve">; </w:t>
      </w:r>
      <w:hyperlink r:id="rId10" w:history="1">
        <w:r>
          <w:rPr>
            <w:rStyle w:val="Hyperlink"/>
          </w:rPr>
          <w:t>OAG 74-770</w:t>
        </w:r>
      </w:hyperlink>
      <w:r w:rsidR="00CE5DCB">
        <w:t xml:space="preserve">; </w:t>
      </w:r>
      <w:hyperlink r:id="rId11" w:history="1">
        <w:r>
          <w:rPr>
            <w:rStyle w:val="Hyperlink"/>
          </w:rPr>
          <w:t>OAG 76</w:t>
        </w:r>
        <w:r>
          <w:rPr>
            <w:rStyle w:val="Hyperlink"/>
          </w:rPr>
          <w:noBreakHyphen/>
          <w:t>427</w:t>
        </w:r>
      </w:hyperlink>
    </w:p>
    <w:p w14:paraId="62713F93" w14:textId="77777777" w:rsidR="00CE5DCB" w:rsidRDefault="00CE5DCB" w:rsidP="00CE5DCB">
      <w:pPr>
        <w:pStyle w:val="relatedsideheading"/>
      </w:pPr>
      <w:r>
        <w:t>Related Policies:</w:t>
      </w:r>
    </w:p>
    <w:p w14:paraId="2DA0CDE9" w14:textId="77777777" w:rsidR="00CE5DCB" w:rsidRDefault="00CE5DCB" w:rsidP="00CE5DCB">
      <w:pPr>
        <w:pStyle w:val="Reference"/>
        <w:spacing w:after="60"/>
      </w:pPr>
      <w:r>
        <w:t>03.1232; 03.1237</w:t>
      </w:r>
    </w:p>
    <w:p w14:paraId="0D081F84" w14:textId="6BA9BD4C" w:rsidR="00CE5DCB" w:rsidRDefault="003F15E6" w:rsidP="00CE5DCB">
      <w:pPr>
        <w:pStyle w:val="policytextright"/>
      </w:pPr>
      <w:r>
        <w:t>Adopted/Amended: 6/15/2023</w:t>
      </w:r>
    </w:p>
    <w:p w14:paraId="7395D4A3" w14:textId="6963A91A" w:rsidR="00F776E7" w:rsidRDefault="003F15E6" w:rsidP="00CE5DCB">
      <w:pPr>
        <w:pStyle w:val="policytextright"/>
      </w:pPr>
      <w:r>
        <w:t>Order #:         214</w:t>
      </w:r>
    </w:p>
    <w:sectPr w:rsidR="00F776E7" w:rsidSect="007F61AD">
      <w:footerReference w:type="default" r:id="rId12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EDEA2" w14:textId="77777777" w:rsidR="00312651" w:rsidRDefault="00312651" w:rsidP="00CE5DCB">
      <w:r>
        <w:separator/>
      </w:r>
    </w:p>
  </w:endnote>
  <w:endnote w:type="continuationSeparator" w:id="0">
    <w:p w14:paraId="7832ADA8" w14:textId="77777777" w:rsidR="00312651" w:rsidRDefault="00312651" w:rsidP="00CE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71C6E" w14:textId="2DF902B0" w:rsidR="00CE5DCB" w:rsidRPr="00CE5DCB" w:rsidRDefault="00CE5DCB" w:rsidP="00CE5DCB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94BD" w14:textId="77777777" w:rsidR="00312651" w:rsidRDefault="00312651" w:rsidP="00CE5DCB">
      <w:r>
        <w:separator/>
      </w:r>
    </w:p>
  </w:footnote>
  <w:footnote w:type="continuationSeparator" w:id="0">
    <w:p w14:paraId="23C278A7" w14:textId="77777777" w:rsidR="00312651" w:rsidRDefault="00312651" w:rsidP="00CE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B"/>
    <w:rsid w:val="001923BD"/>
    <w:rsid w:val="001A33F8"/>
    <w:rsid w:val="001D5A9F"/>
    <w:rsid w:val="00312651"/>
    <w:rsid w:val="0035105A"/>
    <w:rsid w:val="003F15E6"/>
    <w:rsid w:val="004448C7"/>
    <w:rsid w:val="004A6E6A"/>
    <w:rsid w:val="00512BDD"/>
    <w:rsid w:val="00550D69"/>
    <w:rsid w:val="005C6373"/>
    <w:rsid w:val="00625509"/>
    <w:rsid w:val="00646EBB"/>
    <w:rsid w:val="006F655E"/>
    <w:rsid w:val="007F61AD"/>
    <w:rsid w:val="00885515"/>
    <w:rsid w:val="00AF40A3"/>
    <w:rsid w:val="00B52C18"/>
    <w:rsid w:val="00C05473"/>
    <w:rsid w:val="00CE2F76"/>
    <w:rsid w:val="00CE5DCB"/>
    <w:rsid w:val="00D400A6"/>
    <w:rsid w:val="00D81418"/>
    <w:rsid w:val="00D835C7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1F9A"/>
  <w15:chartTrackingRefBased/>
  <w15:docId w15:val="{99A6AA0B-0963-4D47-B9D6-E1F79C1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CE5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DC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5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DCB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5DCB"/>
  </w:style>
  <w:style w:type="character" w:customStyle="1" w:styleId="policytextChar">
    <w:name w:val="policytext Char"/>
    <w:link w:val="policytext"/>
    <w:locked/>
    <w:rsid w:val="00CE5DCB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F15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1-00/155.pdf&amp;requesttype=k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licy.ksba.org//DocumentManager.aspx?requestarticle=/KRS/161-00/152.pdf&amp;requesttype=kr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y.ksba.org//DocumentManager.aspx?requestarticle=/KRS/160-00/380.pdf&amp;requesttype=krs" TargetMode="External"/><Relationship Id="rId11" Type="http://schemas.openxmlformats.org/officeDocument/2006/relationships/hyperlink" Target="http://policy.ksba.org//documentmanager.aspx?requestarticle=/civil/opinions/OAG76427.htm&amp;requesttype=oa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olicy.ksba.org//documentmanager.aspx?requestarticle=/civil/opinions/OAG74770.htm&amp;requesttype=oa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licy.ksba.org//documentmanager.aspx?requestarticle=/civil/opinions/OAG72348.htm&amp;requesttype=o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3</cp:revision>
  <dcterms:created xsi:type="dcterms:W3CDTF">2024-10-20T12:48:00Z</dcterms:created>
  <dcterms:modified xsi:type="dcterms:W3CDTF">2024-12-06T10:42:00Z</dcterms:modified>
</cp:coreProperties>
</file>