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12/</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Support Services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Kentucky Department of Education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Kentucky Comprehensive Literacy Grant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July 1, 2025 – September 30, 2029</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Goal 4 Operations &amp; Resource Optimization; Objective C Strategy: Implement long-range and short-term fiscal planning strategies that will enable the district to meet the demands of an ever-changing economy.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purpose of the Kentucky Comprehensive Literacy (KyCL) Grant is to provide competitive grant funds to support public and state schools and participating early childhood partners to improve oral language, increase readiness for school, strengthen transitions between levels and improve reading and writing instruction and student literacy outcomes in students ages 0 through Grade 12.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$1,560,000 following these funding percentages: 16% for Birth to Age 5 ($249,000), 42% for Elementary ($655,000), and 42% for Secondary ($655,000)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recommend the board approve the pursuit of these grant funds as presented.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James Detwiler, Deputy Superintendent / CAO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Jenny Watson, Asst. Superintendent for Elementary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Mrs. Tara Drysdale, Asst. Superintendent for Secondary</w:t>
      </w:r>
    </w:p>
    <w:sectPr>
      <w:headerReference r:id="rId7" w:type="first"/>
      <w:footerReference r:id="rId8" w:type="first"/>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D">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N3k+0QBVLLtt1BImjHcmo+nDQ==">CgMxLjA4AHIhMURCS3Z2bWhUU3F0QkVZMUZsQlAtYXNnZG41QWE1RGlr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2024-12-04T21:16:00Z</dcterms:created>
  <dc:creator>Staff</dc:creator>
</cp:coreProperties>
</file>