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12/12/2024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Jones Middle School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Brighton Center, Inc.</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Youth Leadership Development program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September 1, 2024 – June 1, 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8080"/>
          <w:sz w:val="22"/>
          <w:szCs w:val="22"/>
          <w:u w:val="none"/>
          <w:shd w:fill="auto" w:val="clear"/>
          <w:vertAlign w:val="baseline"/>
          <w:rtl w:val="0"/>
        </w:rPr>
        <w:t xml:space="preserve">Goal 1 - World Class Education; Objective B Strategy: Ensure that diverse populations of students are provided the unique support required to be successful in the classroom.</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rtl w:val="0"/>
        </w:rPr>
        <w:t xml:space="preserve">The Youth Leadership Development Program (YLP) is being funded by the Boone County Fiscal Court.  The program provides structured activities and opportunities for youth to acquire and improve their life skills, decision-making, and leadership skills. It utilizes the Wyman’s Teen Outreach Program® (TOP®), designed to develop social and emotional well-being and mental health of pre-teens/teens. TOP® was named an evidence-based Mental Health Promotion program by the Substance Abuse and Mental Health Services Administration (SAMSHA). The TOP® approach provides youth with critical supports and opportunities to prepare for successful adulthood and avoid problem behaviors.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recommend the board approve this Memorandum of Understanding </w:t>
      </w:r>
      <w:r w:rsidDel="00000000" w:rsidR="00000000" w:rsidRPr="00000000">
        <w:rPr>
          <w:rFonts w:ascii="Calibri" w:cs="Calibri" w:eastAsia="Calibri" w:hAnsi="Calibri"/>
          <w:sz w:val="22"/>
          <w:szCs w:val="22"/>
          <w:rtl w:val="0"/>
        </w:rPr>
        <w:t xml:space="preserve">between Brighton Center, Inc and R A Jones Middle School,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presented.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James Detwiler, Deputy Superintendent / CAO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Mrs. Stacy Park, Principal, Jones Middle School</w:t>
      </w:r>
    </w:p>
    <w:sectPr>
      <w:headerReference r:id="rId7" w:type="first"/>
      <w:footerReference r:id="rId8" w:type="first"/>
      <w:pgSz w:h="15840" w:w="12240" w:orient="portrait"/>
      <w:pgMar w:bottom="43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r4sI8Ne99SsBJxsask3gQMKvw==">CgMxLjA4AHIhMVh0N1lsVDZJS0VIWVZBRExIbXNLOTB3QWFWU24zaXk0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2024-12-05T19:30:00Z</dcterms:created>
  <dc:creator>Staff</dc:creator>
</cp:coreProperties>
</file>