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943600" cy="1028700"/>
            <wp:effectExtent b="0" l="0" r="0" t="0"/>
            <wp:docPr descr="Home" id="7" name="image1.png"/>
            <a:graphic>
              <a:graphicData uri="http://schemas.openxmlformats.org/drawingml/2006/picture">
                <pic:pic>
                  <pic:nvPicPr>
                    <pic:cNvPr descr="Hom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ihuk2h2v7l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351c7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51c75"/>
          <w:sz w:val="20"/>
          <w:szCs w:val="20"/>
          <w:rtl w:val="0"/>
        </w:rPr>
        <w:t xml:space="preserve">Dawson Springs Elementary School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Where the teachers and students give 100% every day and failure is not an option.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Panthers Prowling to Proficiency!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8ukxspe4ss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fa34o1d3s6lj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October 2024 Board Meeting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Elementary Principal Report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Jennifer Ward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Academic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Midterm grade reports went home last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iReady Fall screener has been completed for both reading and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Reading - 73% of students tested where they needed to be for the beginning of the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Math - 74% of students tested where they needed to be for the beginning of the year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First grade had the highest percentage of students at placement level on the fall iReady screener for reading and math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PLC Conversations for the Month: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KSA individual student data has been disaggregated and our “bubble kids” have been identified.  These are the students who are right on the edge of either moving up or down a level on testing results. 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Teachers have started conducting individual student conferences to set goals for this year.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CSIP Goals for the 24/25 school year will begin to be modified for the current school year with staff members.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Reading intervention plans for students under the 25th percentile on reading assessment results from iReady will be created in IC and monitored monthly for progress towards exiting the plan.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Our book study on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Focus Elevating the Essentials to Radically Improve Student Learning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 Mike Schmoker is going great!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Lots of deep conversations about classroom instructional delivery and getting back to the basics.  The overall summary for the book can be summed up as follows: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is truly “essential” for schools?  The evidence points hard to three fundamental elements: reasonably coherent curriculum (what we teach); soundly structured lessons (how we teach); and large amounts of purposeful reading and writing in every discipline (authentic literacy - integral to both what and how we teach).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have learned about the need for simplicity and focusing on these three key components of effective instruction. 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are currently studying in depth the “what we teach” portion of our book and discussing how its not about “fads” and programs, but about a clear, “viable” curriculum for every course.  Aligned, essential standards.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21 is our next SBDM meeting at 3:30 PM.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25 is our next Friday Morning Assembly with November Student of the Month winners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jcLSmfYl3UDDauEkpI0kAxn7A==">CgMxLjAyCGguZ2pkZ3hzMg5oLjFpaHVrMmgydjdsdjIOaC44dWt4c3BlNHNzZzkyDmguZmEzNG8xZDNzNmxqOAByITF5a1dIVmlhNW9OejZqNTZBUjd5aEc2cXNjTE50RVgxZQ==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2020-06-12T13:42:00Z</dcterms:created>
  <dc:creator>Ward, Jennifer</dc:creator>
</cp:coreProperties>
</file>