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9DA1A" w14:textId="77777777" w:rsidR="00AF4A0B" w:rsidRDefault="00CD448A">
      <w:pPr>
        <w:pStyle w:val="TitleC"/>
      </w:pPr>
      <w:r>
        <w:t>RESOLUTION NO. __________</w:t>
      </w:r>
    </w:p>
    <w:p w14:paraId="7A19DA1B" w14:textId="77777777" w:rsidR="00AF4A0B" w:rsidRDefault="00CD448A">
      <w:pPr>
        <w:pStyle w:val="Hanging55indent12"/>
      </w:pPr>
      <w:r>
        <w:t>A RESOLUTION APPROVING A LEASE FOR THE FINANCING OF A PROJECT; PROVIDING FOR THE PAYMENT AND SECURITY OF THE LEASE; AUTHORIZING THE EXECUTION OF VARIOUS DOCUMENTS RELATED TO SUCH LEASE; AND MAKING CERTAIN DESIGNATIONS REGARDING SUCH LEASE.</w:t>
      </w:r>
    </w:p>
    <w:p w14:paraId="7A19DA1C" w14:textId="60C1E3AE" w:rsidR="00AF4A0B" w:rsidRDefault="00CD448A">
      <w:pPr>
        <w:pStyle w:val="BodySingleSp5J"/>
      </w:pPr>
      <w:r>
        <w:t xml:space="preserve">WHEREAS, the governing body of the County of </w:t>
      </w:r>
      <w:r w:rsidR="00AE0A3C">
        <w:t>Ohio</w:t>
      </w:r>
      <w:r>
        <w:t xml:space="preserve">, Kentucky (the "Lessee") has the power, pursuant to Section 65.940 et seq. of the Kentucky Revised Statutes to enter into lease agreements with or without the option to purchase in order to provide for the use of the property for public </w:t>
      </w:r>
      <w:proofErr w:type="gramStart"/>
      <w:r>
        <w:t>purposes;</w:t>
      </w:r>
      <w:proofErr w:type="gramEnd"/>
    </w:p>
    <w:p w14:paraId="7A19DA1D" w14:textId="77777777" w:rsidR="00AF4A0B" w:rsidRDefault="00CD448A">
      <w:pPr>
        <w:pStyle w:val="BodySingleSp5J"/>
      </w:pPr>
      <w:r>
        <w:t xml:space="preserve">WHEREAS, the governing body of the Lessee (the "Governing Body") has previously determined, and hereby further determines, that the Lessee </w:t>
      </w:r>
      <w:proofErr w:type="gramStart"/>
      <w:r>
        <w:t>is in need of</w:t>
      </w:r>
      <w:proofErr w:type="gramEnd"/>
      <w:r>
        <w:t xml:space="preserve"> the Project, as defined in the Lease hereinafter described; and</w:t>
      </w:r>
    </w:p>
    <w:p w14:paraId="7A19DA1E" w14:textId="77777777" w:rsidR="00AF4A0B" w:rsidRDefault="00CD448A">
      <w:pPr>
        <w:pStyle w:val="BodySingleSp5J"/>
      </w:pPr>
      <w:r>
        <w:t>WHEREAS, the Governing Body has determined and hereby determines that it is in the best interests of the Lessee that the Lessee enter into a Lease Agreement (the "Lease"), to be administered by Kentucky Association of Counties Leasing Trust (the "Program Administrator") and funded by the bank or financial institution offering the lowest and best interest rate, as selected by the Lessee upon the advice of the Program Administrator (the "Lessor"), for the leasing by the Lessee from the Lessor of the Project.</w:t>
      </w:r>
    </w:p>
    <w:p w14:paraId="7A19DA1F" w14:textId="3DAE04CB" w:rsidR="00AF4A0B" w:rsidRDefault="00CD448A">
      <w:pPr>
        <w:pStyle w:val="BodySingleSp5J"/>
      </w:pPr>
      <w:r>
        <w:t xml:space="preserve">NOW THEREFORE, BE IT RESOLVED BY THE FISCAL COURT OF THE COUNTY OF </w:t>
      </w:r>
      <w:r w:rsidR="00AE0A3C">
        <w:t>OHIO</w:t>
      </w:r>
      <w:r>
        <w:t>, KENTUCKY, AS FOLLOWS:</w:t>
      </w:r>
    </w:p>
    <w:p w14:paraId="7A19DA20" w14:textId="77777777" w:rsidR="00AF4A0B" w:rsidRDefault="00CD448A">
      <w:pPr>
        <w:pStyle w:val="BodySingleSp5J"/>
      </w:pPr>
      <w:r>
        <w:t xml:space="preserve">Section 1.  </w:t>
      </w:r>
      <w:r>
        <w:rPr>
          <w:u w:val="single"/>
        </w:rPr>
        <w:t>Recitals and Authorization</w:t>
      </w:r>
      <w:r>
        <w:t>.  The Lessee hereby approves the Lease Agreement (the "Lease") and all Collateral Documents, to the extent defined and identified in the Lease, each in substantially the form presented to this Governing Body.  It is hereby found and determined that the Project identified in the Lease is public property to be used for public purposes.  It is further determined that it is necessary and desirable and in the best interests of the Lessee to enter into the Lease for the purposes therein specified, and the execution and delivery of the Lease and all representations, certifications and other matters contained in the closing memorandum with respect to the Lease, or as may be required by the Lessor prior to delivery of the Lease, are hereby approved, ratified and confirmed.  The Judge/Executive and Fiscal Court Clerk of the Lessee are hereby authorized to execute the Lease, together with such other agreements or certifications which may be necessary to accomplish the transaction contemplated by the Lease.</w:t>
      </w:r>
    </w:p>
    <w:p w14:paraId="7A19DA21" w14:textId="77777777" w:rsidR="00AF4A0B" w:rsidRDefault="00CD448A">
      <w:pPr>
        <w:pStyle w:val="BodySingleSp5J"/>
      </w:pPr>
      <w:r>
        <w:t xml:space="preserve">Section 2.  </w:t>
      </w:r>
      <w:r>
        <w:rPr>
          <w:u w:val="single"/>
        </w:rPr>
        <w:t>Administration of the Lease</w:t>
      </w:r>
      <w:r>
        <w:t>.  The Kentucky Association of Counties Leasing Trust is hereby acknowledged to be the program administrator under the Lease.</w:t>
      </w:r>
    </w:p>
    <w:p w14:paraId="7A19DA22" w14:textId="77777777" w:rsidR="00AF4A0B" w:rsidRDefault="00CD448A">
      <w:pPr>
        <w:pStyle w:val="BodySingleSp5J"/>
      </w:pPr>
      <w:r>
        <w:t xml:space="preserve">Section 3.  </w:t>
      </w:r>
      <w:r>
        <w:rPr>
          <w:u w:val="single"/>
        </w:rPr>
        <w:t>Severability</w:t>
      </w:r>
      <w:r>
        <w:t>.  If any Section, paragraph or provision of this Resolution shall be held to be invalid or unenforceable for any reason, the invalidity or unenforceability of such Section, paragraph or provision shall not affect any of the remaining provisions of this Resolution.</w:t>
      </w:r>
    </w:p>
    <w:p w14:paraId="7A19DA23" w14:textId="77777777" w:rsidR="00AF4A0B" w:rsidRDefault="00CD448A">
      <w:pPr>
        <w:pStyle w:val="BodySingleSp5J"/>
      </w:pPr>
      <w:r>
        <w:t xml:space="preserve">Section 4.  </w:t>
      </w:r>
      <w:r>
        <w:rPr>
          <w:u w:val="single"/>
        </w:rPr>
        <w:t>Open Meetings Law</w:t>
      </w:r>
      <w:r>
        <w:t xml:space="preserve">.  This Governing Body hereby finds and determines that all formal actions relative to the adoption of this Resolution were taken in an open meeting of this Governing Body, and that all deliberations of this governing Body and of its committees, if any, </w:t>
      </w:r>
      <w:r>
        <w:lastRenderedPageBreak/>
        <w:t>which resulted in formal action, were in meetings open to the public, in full compliance with applicable legal requirements.</w:t>
      </w:r>
    </w:p>
    <w:p w14:paraId="7A19DA24" w14:textId="77777777" w:rsidR="00AF4A0B" w:rsidRDefault="00CD448A">
      <w:pPr>
        <w:pStyle w:val="BodySingleSp5J"/>
      </w:pPr>
      <w:r>
        <w:t xml:space="preserve">Section 5.  </w:t>
      </w:r>
      <w:r>
        <w:rPr>
          <w:u w:val="single"/>
        </w:rPr>
        <w:t>Conflicts</w:t>
      </w:r>
      <w:r>
        <w:t>.    All ordinances, resolutions, orders or parts thereof in conflict with the provisions of this Resolution are, to the extent of such conflict, hereby repealed and the provisions of this Resolution shall prevail and be given effect.</w:t>
      </w:r>
    </w:p>
    <w:p w14:paraId="7A19DA25" w14:textId="77777777" w:rsidR="00AF4A0B" w:rsidRDefault="00CD448A">
      <w:pPr>
        <w:pStyle w:val="BodySingleSp5J"/>
      </w:pPr>
      <w:r>
        <w:t xml:space="preserve">Section 6.  </w:t>
      </w:r>
      <w:r>
        <w:rPr>
          <w:u w:val="single"/>
        </w:rPr>
        <w:t>Effective Date</w:t>
      </w:r>
      <w:r>
        <w:t>.  This Resolution shall take effect from and after its passage and publication of a summary thereof, as provided by law.</w:t>
      </w:r>
    </w:p>
    <w:p w14:paraId="7A19DA26" w14:textId="726B8B51" w:rsidR="00AF4A0B" w:rsidRDefault="00CD448A">
      <w:pPr>
        <w:pStyle w:val="BodySingleSp5J"/>
        <w:spacing w:after="120"/>
      </w:pPr>
      <w:r>
        <w:t>INTRODUCED, SECONDED AND ADOPTED, at a duly convened meeting of the Governing Body, held on ____________, 202</w:t>
      </w:r>
      <w:r w:rsidR="003A768E">
        <w:t>4</w:t>
      </w:r>
      <w:r>
        <w:t>, signed by the Judge/Executive of the Lessee, attested by the Fiscal Court Clerk, filed and indexed as provided by law.</w:t>
      </w:r>
    </w:p>
    <w:p w14:paraId="7A19DA27" w14:textId="77777777" w:rsidR="00AF4A0B" w:rsidRDefault="00AF4A0B">
      <w:pPr>
        <w:ind w:firstLine="4320"/>
      </w:pPr>
    </w:p>
    <w:p w14:paraId="7A19DA28" w14:textId="77777777" w:rsidR="00AF4A0B" w:rsidRDefault="00AF4A0B">
      <w:pPr>
        <w:ind w:firstLine="4320"/>
      </w:pPr>
    </w:p>
    <w:p w14:paraId="7A19DA29" w14:textId="77777777" w:rsidR="00AF4A0B" w:rsidRDefault="00CD448A">
      <w:pPr>
        <w:ind w:firstLine="4320"/>
      </w:pPr>
      <w:r>
        <w:t>By:</w:t>
      </w:r>
    </w:p>
    <w:tbl>
      <w:tblPr>
        <w:tblW w:w="0" w:type="auto"/>
        <w:jc w:val="right"/>
        <w:tblLayout w:type="fixed"/>
        <w:tblCellMar>
          <w:left w:w="120" w:type="dxa"/>
          <w:right w:w="120" w:type="dxa"/>
        </w:tblCellMar>
        <w:tblLook w:val="0000" w:firstRow="0" w:lastRow="0" w:firstColumn="0" w:lastColumn="0" w:noHBand="0" w:noVBand="0"/>
      </w:tblPr>
      <w:tblGrid>
        <w:gridCol w:w="4320"/>
      </w:tblGrid>
      <w:tr w:rsidR="00AF4A0B" w14:paraId="7A19DA2B" w14:textId="77777777">
        <w:trPr>
          <w:trHeight w:val="496"/>
          <w:jc w:val="right"/>
        </w:trPr>
        <w:tc>
          <w:tcPr>
            <w:tcW w:w="4320" w:type="dxa"/>
            <w:tcBorders>
              <w:top w:val="single" w:sz="7" w:space="0" w:color="auto"/>
            </w:tcBorders>
          </w:tcPr>
          <w:p w14:paraId="7A19DA2A" w14:textId="77777777" w:rsidR="00AF4A0B" w:rsidRDefault="00CD448A">
            <w:pPr>
              <w:tabs>
                <w:tab w:val="center" w:pos="2040"/>
              </w:tabs>
              <w:spacing w:after="54"/>
            </w:pPr>
            <w:r>
              <w:tab/>
              <w:t>Judge/Executive</w:t>
            </w:r>
          </w:p>
        </w:tc>
      </w:tr>
    </w:tbl>
    <w:p w14:paraId="7A19DA2C" w14:textId="77777777" w:rsidR="00AF4A0B" w:rsidRDefault="00CD448A">
      <w:pPr>
        <w:pStyle w:val="ExhibitNorman"/>
        <w:spacing w:after="120"/>
        <w:rPr>
          <w:sz w:val="24"/>
          <w:szCs w:val="24"/>
        </w:rPr>
      </w:pPr>
      <w:r>
        <w:rPr>
          <w:sz w:val="24"/>
          <w:szCs w:val="24"/>
        </w:rPr>
        <w:t>ATTEST:</w:t>
      </w:r>
    </w:p>
    <w:p w14:paraId="7A19DA2D" w14:textId="77777777" w:rsidR="00AF4A0B" w:rsidRDefault="00AF4A0B">
      <w:pPr>
        <w:pStyle w:val="ExhibitNorman"/>
        <w:spacing w:after="120"/>
        <w:rPr>
          <w:sz w:val="24"/>
          <w:szCs w:val="24"/>
        </w:rPr>
      </w:pPr>
    </w:p>
    <w:p w14:paraId="7A19DA2E" w14:textId="77777777" w:rsidR="00AF4A0B" w:rsidRDefault="00CD448A">
      <w:r>
        <w:t>By:</w:t>
      </w:r>
    </w:p>
    <w:tbl>
      <w:tblPr>
        <w:tblW w:w="0" w:type="auto"/>
        <w:tblInd w:w="840" w:type="dxa"/>
        <w:tblLayout w:type="fixed"/>
        <w:tblCellMar>
          <w:left w:w="120" w:type="dxa"/>
          <w:right w:w="120" w:type="dxa"/>
        </w:tblCellMar>
        <w:tblLook w:val="0000" w:firstRow="0" w:lastRow="0" w:firstColumn="0" w:lastColumn="0" w:noHBand="0" w:noVBand="0"/>
      </w:tblPr>
      <w:tblGrid>
        <w:gridCol w:w="3600"/>
      </w:tblGrid>
      <w:tr w:rsidR="00AF4A0B" w14:paraId="7A19DA30" w14:textId="77777777">
        <w:trPr>
          <w:trHeight w:val="505"/>
        </w:trPr>
        <w:tc>
          <w:tcPr>
            <w:tcW w:w="3600" w:type="dxa"/>
            <w:tcBorders>
              <w:top w:val="single" w:sz="7" w:space="0" w:color="auto"/>
            </w:tcBorders>
          </w:tcPr>
          <w:p w14:paraId="7A19DA2F" w14:textId="77777777" w:rsidR="00AF4A0B" w:rsidRDefault="00CD448A">
            <w:pPr>
              <w:tabs>
                <w:tab w:val="center" w:pos="1680"/>
              </w:tabs>
              <w:spacing w:after="54"/>
              <w:jc w:val="center"/>
            </w:pPr>
            <w:r>
              <w:rPr>
                <w:spacing w:val="-2"/>
              </w:rPr>
              <w:t>Fiscal Court Clerk</w:t>
            </w:r>
          </w:p>
        </w:tc>
      </w:tr>
    </w:tbl>
    <w:p w14:paraId="7A19DA31" w14:textId="77777777" w:rsidR="00AF4A0B" w:rsidRDefault="00AF4A0B"/>
    <w:p w14:paraId="7A19DA32" w14:textId="77777777" w:rsidR="00AF4A0B" w:rsidRDefault="00AF4A0B"/>
    <w:p w14:paraId="7A19DA33" w14:textId="77777777" w:rsidR="00AF4A0B" w:rsidRDefault="00AF4A0B"/>
    <w:p w14:paraId="7A19DA34" w14:textId="77777777" w:rsidR="00AF4A0B" w:rsidRDefault="00AF4A0B"/>
    <w:p w14:paraId="7A19DA35" w14:textId="77777777" w:rsidR="00AF4A0B" w:rsidRDefault="00AF4A0B"/>
    <w:p w14:paraId="7A19DA36" w14:textId="77777777" w:rsidR="00AF4A0B" w:rsidRDefault="00CD448A">
      <w:pPr>
        <w:pStyle w:val="LBFileStampAtEnd"/>
      </w:pPr>
      <w:r>
        <w:t>16046506.1</w:t>
      </w:r>
    </w:p>
    <w:sectPr w:rsidR="00AF4A0B">
      <w:foot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9DA39" w14:textId="77777777" w:rsidR="00525E43" w:rsidRDefault="00CD448A">
      <w:r>
        <w:separator/>
      </w:r>
    </w:p>
  </w:endnote>
  <w:endnote w:type="continuationSeparator" w:id="0">
    <w:p w14:paraId="7A19DA3A" w14:textId="77777777" w:rsidR="00525E43" w:rsidRDefault="00CD4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9DA3B" w14:textId="77777777" w:rsidR="00AF4A0B" w:rsidRDefault="00CD448A">
    <w:pPr>
      <w:pStyle w:val="Footer"/>
    </w:pPr>
    <w:r>
      <w:ptab w:relativeTo="margin" w:alignment="center" w:leader="none"/>
    </w:r>
    <w:r>
      <w:rPr>
        <w:rStyle w:val="PageNumber"/>
      </w:rPr>
      <w:fldChar w:fldCharType="begin"/>
    </w:r>
    <w:r>
      <w:rPr>
        <w:rStyle w:val="PageNumber"/>
      </w:rPr>
      <w:instrText xml:space="preserve"> PAGE  \* MERGEFORMAT </w:instrText>
    </w:r>
    <w:r>
      <w:rPr>
        <w:rStyle w:val="PageNumber"/>
      </w:rPr>
      <w:fldChar w:fldCharType="separate"/>
    </w:r>
    <w:r w:rsidR="002039AC">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9DA37" w14:textId="77777777" w:rsidR="00525E43" w:rsidRDefault="00CD448A">
      <w:r>
        <w:separator/>
      </w:r>
    </w:p>
  </w:footnote>
  <w:footnote w:type="continuationSeparator" w:id="0">
    <w:p w14:paraId="7A19DA38" w14:textId="77777777" w:rsidR="00525E43" w:rsidRDefault="00CD44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A0B"/>
    <w:rsid w:val="002039AC"/>
    <w:rsid w:val="003A768E"/>
    <w:rsid w:val="00525E43"/>
    <w:rsid w:val="00863157"/>
    <w:rsid w:val="0090595F"/>
    <w:rsid w:val="00AE0A3C"/>
    <w:rsid w:val="00AF4A0B"/>
    <w:rsid w:val="00CD448A"/>
    <w:rsid w:val="00E22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9DA1A"/>
  <w15:chartTrackingRefBased/>
  <w15:docId w15:val="{B34A6467-6A2C-4D63-8F8B-FEEEF83E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ingleSp5J">
    <w:name w:val="Body Single Sp .5 J"/>
    <w:basedOn w:val="Normal"/>
    <w:link w:val="BodySingleSp5JChar"/>
    <w:pPr>
      <w:spacing w:after="240"/>
      <w:ind w:firstLine="720"/>
      <w:jc w:val="both"/>
    </w:pPr>
  </w:style>
  <w:style w:type="paragraph" w:customStyle="1" w:styleId="TitleC">
    <w:name w:val="Title C"/>
    <w:basedOn w:val="Normal"/>
    <w:pPr>
      <w:keepNext/>
      <w:spacing w:after="240"/>
      <w:jc w:val="center"/>
    </w:pPr>
  </w:style>
  <w:style w:type="paragraph" w:customStyle="1" w:styleId="Hanging55indent12">
    <w:name w:val="Hanging .5/5 indent 12"/>
    <w:basedOn w:val="Normal"/>
    <w:pPr>
      <w:suppressAutoHyphens/>
      <w:spacing w:after="240"/>
      <w:ind w:left="720"/>
      <w:jc w:val="both"/>
    </w:pPr>
    <w:rPr>
      <w:spacing w:val="-2"/>
    </w:rPr>
  </w:style>
  <w:style w:type="paragraph" w:customStyle="1" w:styleId="ExhibitNorman">
    <w:name w:val="Exhibit Norman"/>
    <w:basedOn w:val="Normal"/>
    <w:pPr>
      <w:spacing w:after="240"/>
    </w:pPr>
    <w:rPr>
      <w:spacing w:val="-2"/>
      <w:sz w:val="20"/>
    </w:rPr>
  </w:style>
  <w:style w:type="character" w:customStyle="1" w:styleId="BodySingleSp5JChar">
    <w:name w:val="Body Single Sp .5 J Char"/>
    <w:link w:val="BodySingleSp5J"/>
    <w:rPr>
      <w:rFonts w:ascii="Times New Roman" w:eastAsia="Times New Roman" w:hAnsi="Times New Roman" w:cs="Times New Roman"/>
      <w:sz w:val="24"/>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character" w:styleId="PageNumber">
    <w:name w:val="page number"/>
    <w:basedOn w:val="DefaultParagraphFont"/>
    <w:uiPriority w:val="99"/>
    <w:unhideWhenUsed/>
    <w:rPr>
      <w:rFonts w:ascii="Times New Roman" w:hAnsi="Times New Roman" w:cs="Times New Roman"/>
      <w:color w:val="auto"/>
      <w:sz w:val="24"/>
    </w:rPr>
  </w:style>
  <w:style w:type="character" w:customStyle="1" w:styleId="LBFileStampAtCursor">
    <w:name w:val="*LBFileStampAtCursor"/>
    <w:aliases w:val="FSC"/>
    <w:basedOn w:val="DefaultParagraphFont"/>
    <w:rPr>
      <w:sz w:val="16"/>
      <w:szCs w:val="32"/>
    </w:rPr>
  </w:style>
  <w:style w:type="paragraph" w:customStyle="1" w:styleId="LBFileStampAtEnd">
    <w:name w:val="*LBFileStampAtEnd"/>
    <w:aliases w:val="FSE"/>
    <w:basedOn w:val="Normal"/>
    <w:pPr>
      <w:spacing w:before="360"/>
    </w:pPr>
    <w:rPr>
      <w:rFonts w:asciiTheme="minorHAnsi" w:hAnsiTheme="minorHAnsi" w:cstheme="minorHAnsi"/>
      <w:sz w:val="16"/>
      <w:szCs w:val="32"/>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Mittler, Kelly - KACo</dc:creator>
  <cp:lastModifiedBy>Kelly Collins Mittler - KACo</cp:lastModifiedBy>
  <cp:revision>3</cp:revision>
  <dcterms:created xsi:type="dcterms:W3CDTF">2024-08-22T17:38:00Z</dcterms:created>
  <dcterms:modified xsi:type="dcterms:W3CDTF">2024-08-22T17:38:00Z</dcterms:modified>
</cp:coreProperties>
</file>