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10" w:rsidRDefault="00074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255" w:type="dxa"/>
        <w:tblInd w:w="13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55"/>
      </w:tblGrid>
      <w:tr w:rsidR="00074010">
        <w:trPr>
          <w:trHeight w:val="43"/>
        </w:trPr>
        <w:tc>
          <w:tcPr>
            <w:tcW w:w="9255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EBEBE"/>
          </w:tcPr>
          <w:p w:rsidR="00074010" w:rsidRDefault="00074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74010">
        <w:trPr>
          <w:trHeight w:val="516"/>
        </w:trPr>
        <w:tc>
          <w:tcPr>
            <w:tcW w:w="92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074010" w:rsidRDefault="00CF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680" w:right="26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Mercer County Schools </w:t>
            </w:r>
          </w:p>
          <w:p w:rsidR="00074010" w:rsidRDefault="00CF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680" w:right="26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JOB DESCRIPTION</w:t>
            </w:r>
          </w:p>
        </w:tc>
      </w:tr>
      <w:tr w:rsidR="00074010">
        <w:trPr>
          <w:trHeight w:val="28"/>
        </w:trPr>
        <w:tc>
          <w:tcPr>
            <w:tcW w:w="92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74010" w:rsidRDefault="00074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74010">
        <w:trPr>
          <w:trHeight w:val="805"/>
        </w:trPr>
        <w:tc>
          <w:tcPr>
            <w:tcW w:w="92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4010" w:rsidRDefault="00CF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2"/>
              </w:tabs>
              <w:spacing w:line="268" w:lineRule="auto"/>
              <w:ind w:left="202"/>
              <w:rPr>
                <w:color w:val="000000"/>
              </w:rPr>
            </w:pPr>
            <w:r>
              <w:rPr>
                <w:color w:val="000000"/>
              </w:rPr>
              <w:t xml:space="preserve">Job Title: </w:t>
            </w:r>
            <w:r>
              <w:t>Migrant Advocate/Recruiter</w:t>
            </w:r>
            <w:r>
              <w:rPr>
                <w:color w:val="000000"/>
              </w:rPr>
              <w:tab/>
              <w:t xml:space="preserve">                </w:t>
            </w:r>
            <w:r>
              <w:rPr>
                <w:color w:val="000000"/>
              </w:rPr>
              <w:t xml:space="preserve">Reports to: </w:t>
            </w:r>
            <w:r>
              <w:t>Director of Federal Programs</w:t>
            </w:r>
            <w:r>
              <w:t xml:space="preserve"> </w:t>
            </w:r>
          </w:p>
          <w:p w:rsidR="00074010" w:rsidRDefault="00CF2386">
            <w:r>
              <w:t xml:space="preserve">    Job Class Code: 7886</w:t>
            </w:r>
            <w:r>
              <w:t xml:space="preserve">                                                                      Work Schedule:  22</w:t>
            </w:r>
            <w:r>
              <w:t>0 days</w:t>
            </w:r>
          </w:p>
          <w:p w:rsidR="00074010" w:rsidRDefault="00CF2386" w:rsidP="00CF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2"/>
              </w:tabs>
              <w:spacing w:line="249" w:lineRule="auto"/>
              <w:ind w:left="202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 xml:space="preserve">Pay Scale: </w:t>
            </w:r>
            <w:r>
              <w:t xml:space="preserve"> Per Salary Schedule</w:t>
            </w:r>
            <w:r>
              <w:t xml:space="preserve">                                                    </w:t>
            </w:r>
            <w:r>
              <w:rPr>
                <w:color w:val="000000"/>
              </w:rPr>
              <w:t>Approval Date</w:t>
            </w:r>
            <w:r>
              <w:t xml:space="preserve">: </w:t>
            </w:r>
          </w:p>
        </w:tc>
      </w:tr>
      <w:tr w:rsidR="00074010">
        <w:trPr>
          <w:trHeight w:val="28"/>
        </w:trPr>
        <w:tc>
          <w:tcPr>
            <w:tcW w:w="92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74010" w:rsidRDefault="00CF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 xml:space="preserve">               </w:t>
            </w:r>
          </w:p>
        </w:tc>
      </w:tr>
      <w:tr w:rsidR="00074010">
        <w:trPr>
          <w:trHeight w:val="271"/>
        </w:trPr>
        <w:tc>
          <w:tcPr>
            <w:tcW w:w="92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:rsidR="00074010" w:rsidRDefault="00CF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680" w:right="26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PERFORMANCE RESPONSIBILITIES</w:t>
            </w:r>
          </w:p>
        </w:tc>
      </w:tr>
      <w:tr w:rsidR="00074010">
        <w:trPr>
          <w:trHeight w:val="28"/>
        </w:trPr>
        <w:tc>
          <w:tcPr>
            <w:tcW w:w="92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4010" w:rsidRDefault="00074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74010">
        <w:trPr>
          <w:trHeight w:val="1230"/>
        </w:trPr>
        <w:tc>
          <w:tcPr>
            <w:tcW w:w="92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74010" w:rsidRDefault="00CF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BASIC FUNCTION: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F2386">
              <w:t>Identify, recruit, and enroll eligible migrant students residing in the assigned District; maintain communication between migrant families and the schools.</w:t>
            </w:r>
          </w:p>
          <w:p w:rsidR="00074010" w:rsidRDefault="00074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  <w:rPr>
                <w:b/>
                <w:color w:val="000000"/>
              </w:rPr>
            </w:pPr>
          </w:p>
          <w:p w:rsidR="00074010" w:rsidRDefault="00CF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REPRESENTATIVE DUTIES</w:t>
            </w:r>
            <w:r>
              <w:rPr>
                <w:b/>
                <w:sz w:val="24"/>
                <w:szCs w:val="24"/>
              </w:rPr>
              <w:t>:</w:t>
            </w:r>
          </w:p>
          <w:p w:rsidR="00CF2386" w:rsidRDefault="00CF2386" w:rsidP="00CF23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</w:pPr>
            <w:r>
              <w:t>Apply and explain federal regulations pertaining to the migrant education program.</w:t>
            </w:r>
          </w:p>
          <w:p w:rsidR="00CF2386" w:rsidRDefault="00CF2386" w:rsidP="00CF23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</w:pPr>
            <w:r>
              <w:t>Attend recruiter meetings and other required training sponsored by MEP (regional, state, and/or national)</w:t>
            </w:r>
          </w:p>
          <w:p w:rsidR="00CF2386" w:rsidRDefault="00CF2386" w:rsidP="00CF23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</w:pPr>
            <w:r>
              <w:t>Abide by standard procedures and practices contained in the State Identification and Recruitment Handbook and other directives issued by the State Department of Education.</w:t>
            </w:r>
          </w:p>
          <w:p w:rsidR="00CF2386" w:rsidRDefault="00CF2386" w:rsidP="00CF23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</w:pPr>
            <w:r>
              <w:t>Identify eligible migrant students residing within the boundaries of the assigned school District.</w:t>
            </w:r>
          </w:p>
          <w:p w:rsidR="00CF2386" w:rsidRDefault="00CF2386" w:rsidP="00CF23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</w:pPr>
            <w:r>
              <w:t>Complete Certificate of Eligibility and Health Data Entry Forms; obtain a parent's signature for eligibility documentation for eligible students; submit completed and signed Certificates of Eligibility and Health Data Entry forms to the assigned clerk.</w:t>
            </w:r>
          </w:p>
          <w:p w:rsidR="00CF2386" w:rsidRDefault="00CF2386" w:rsidP="00CF23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</w:pPr>
            <w:r>
              <w:t>Work under the supervision of an assigned director; assist school principals, teachers, secretaries, and nurses in maintaining related records.</w:t>
            </w:r>
          </w:p>
          <w:p w:rsidR="00CF2386" w:rsidRDefault="00CF2386" w:rsidP="00CF23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</w:pPr>
            <w:r>
              <w:t>Communicate between home and school, continually striving to maintain positive communication.</w:t>
            </w:r>
          </w:p>
          <w:p w:rsidR="00CF2386" w:rsidRDefault="00CF2386" w:rsidP="00CF23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</w:pPr>
            <w:r>
              <w:t>Assist an assigned administrator with recruiting parents for membership in the Parent Advisory Council and with related activities.</w:t>
            </w:r>
          </w:p>
          <w:p w:rsidR="00CF2386" w:rsidRDefault="00CF2386" w:rsidP="00CF23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</w:pPr>
            <w:r>
              <w:t>Provide or facilitate supportive services to migrant children or to their families as necessary; enable migrant children to receive a sound education.</w:t>
            </w:r>
          </w:p>
          <w:p w:rsidR="00CF2386" w:rsidRDefault="00CF2386" w:rsidP="00CF23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</w:pPr>
            <w:r>
              <w:t>Perform related duties as assigned.</w:t>
            </w:r>
          </w:p>
          <w:p w:rsidR="00CF2386" w:rsidRDefault="00CF2386" w:rsidP="00CF23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2"/>
            </w:pPr>
            <w:r>
              <w:t xml:space="preserve">Develop relationships with community agencies, businesses, civic groups, </w:t>
            </w:r>
            <w:proofErr w:type="spellStart"/>
            <w:proofErr w:type="gramStart"/>
            <w:r>
              <w:t>etc</w:t>
            </w:r>
            <w:proofErr w:type="spellEnd"/>
            <w:r>
              <w:t xml:space="preserve">  and</w:t>
            </w:r>
            <w:proofErr w:type="gramEnd"/>
            <w:r>
              <w:t xml:space="preserve"> refer families as needed.</w:t>
            </w:r>
          </w:p>
          <w:p w:rsidR="00074010" w:rsidRDefault="00074010">
            <w:pPr>
              <w:tabs>
                <w:tab w:val="left" w:pos="814"/>
                <w:tab w:val="left" w:pos="815"/>
              </w:tabs>
              <w:rPr>
                <w:b/>
                <w:color w:val="000000"/>
              </w:rPr>
            </w:pPr>
          </w:p>
          <w:p w:rsidR="00074010" w:rsidRDefault="00CF2386">
            <w:pPr>
              <w:tabs>
                <w:tab w:val="left" w:pos="814"/>
                <w:tab w:val="left" w:pos="81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KNOWLEDGE AND ABILITIES:</w:t>
            </w:r>
          </w:p>
          <w:p w:rsidR="00CF2386" w:rsidRPr="00CF2386" w:rsidRDefault="00CF2386" w:rsidP="00CF23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F2386">
              <w:rPr>
                <w:color w:val="000000"/>
              </w:rPr>
              <w:t>Federal regulations pertaining to the migrant education program.</w:t>
            </w:r>
          </w:p>
          <w:p w:rsidR="00CF2386" w:rsidRPr="00CF2386" w:rsidRDefault="00CF2386" w:rsidP="00CF23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F2386">
              <w:rPr>
                <w:color w:val="000000"/>
              </w:rPr>
              <w:t xml:space="preserve">Correct oral and written usage of English and a designated second language. </w:t>
            </w:r>
          </w:p>
          <w:p w:rsidR="00CF2386" w:rsidRPr="00CF2386" w:rsidRDefault="00CF2386" w:rsidP="00CF23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F2386">
              <w:rPr>
                <w:color w:val="000000"/>
              </w:rPr>
              <w:t xml:space="preserve">Oral and written communication skills. </w:t>
            </w:r>
          </w:p>
          <w:p w:rsidR="00CF2386" w:rsidRPr="00CF2386" w:rsidRDefault="00CF2386" w:rsidP="00CF23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F2386">
              <w:rPr>
                <w:color w:val="000000"/>
              </w:rPr>
              <w:t xml:space="preserve">Public speaking techniques. </w:t>
            </w:r>
          </w:p>
          <w:p w:rsidR="00CF2386" w:rsidRPr="00CF2386" w:rsidRDefault="00CF2386" w:rsidP="00CF23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F2386">
              <w:rPr>
                <w:color w:val="000000"/>
              </w:rPr>
              <w:t xml:space="preserve">Laws, rules, and regulations related to assigned activities. </w:t>
            </w:r>
          </w:p>
          <w:p w:rsidR="00CF2386" w:rsidRPr="00CF2386" w:rsidRDefault="00CF2386" w:rsidP="00CF23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F2386">
              <w:rPr>
                <w:color w:val="000000"/>
              </w:rPr>
              <w:t xml:space="preserve">Applicable sections of the Kentucky Administrative Regulations and other applicable laws. </w:t>
            </w:r>
          </w:p>
          <w:p w:rsidR="00CF2386" w:rsidRPr="00CF2386" w:rsidRDefault="00CF2386" w:rsidP="00CF23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F2386">
              <w:rPr>
                <w:color w:val="000000"/>
              </w:rPr>
              <w:t>Interpersonal skills using tact, patience, and courtesy.</w:t>
            </w:r>
          </w:p>
          <w:p w:rsidR="00CF2386" w:rsidRPr="00CF2386" w:rsidRDefault="00CF2386" w:rsidP="00CF23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F2386">
              <w:rPr>
                <w:color w:val="000000"/>
              </w:rPr>
              <w:t>Local businesses, farms, restaurants/grocery stores, and other places where potential migrant families could be.</w:t>
            </w:r>
          </w:p>
          <w:p w:rsidR="00CF2386" w:rsidRPr="00CF2386" w:rsidRDefault="00CF2386" w:rsidP="00CF2386">
            <w:pPr>
              <w:widowControl/>
              <w:numPr>
                <w:ilvl w:val="0"/>
                <w:numId w:val="1"/>
              </w:numPr>
            </w:pPr>
            <w:r w:rsidRPr="00CF2386">
              <w:t xml:space="preserve">Read, write, translate, and interpret English and a designated second language. </w:t>
            </w:r>
          </w:p>
          <w:p w:rsidR="00CF2386" w:rsidRPr="00CF2386" w:rsidRDefault="00CF2386" w:rsidP="00CF2386">
            <w:pPr>
              <w:widowControl/>
              <w:numPr>
                <w:ilvl w:val="0"/>
                <w:numId w:val="1"/>
              </w:numPr>
            </w:pPr>
            <w:r w:rsidRPr="00CF2386">
              <w:t xml:space="preserve">Prepare and deliver oral presentations. </w:t>
            </w:r>
          </w:p>
          <w:p w:rsidR="00074010" w:rsidRDefault="00CF2386" w:rsidP="00CF2386">
            <w:pPr>
              <w:widowControl/>
              <w:numPr>
                <w:ilvl w:val="0"/>
                <w:numId w:val="1"/>
              </w:numPr>
            </w:pPr>
            <w:r w:rsidRPr="00CF2386">
              <w:t xml:space="preserve">Establish and maintain cooperative and effective working relationships with others. </w:t>
            </w:r>
          </w:p>
          <w:p w:rsidR="00CF2386" w:rsidRDefault="00CF2386" w:rsidP="00CF2386">
            <w:pPr>
              <w:widowControl/>
              <w:numPr>
                <w:ilvl w:val="0"/>
                <w:numId w:val="1"/>
              </w:numPr>
            </w:pPr>
            <w:r>
              <w:t xml:space="preserve">Maintain routine records. </w:t>
            </w:r>
          </w:p>
          <w:p w:rsidR="00CF2386" w:rsidRDefault="00CF2386" w:rsidP="00CF2386">
            <w:pPr>
              <w:widowControl/>
              <w:numPr>
                <w:ilvl w:val="0"/>
                <w:numId w:val="1"/>
              </w:numPr>
            </w:pPr>
            <w:r>
              <w:t xml:space="preserve">Maintain current knowledge of program rules, regulations, requirements, and restrictions. </w:t>
            </w:r>
          </w:p>
          <w:p w:rsidR="00CF2386" w:rsidRDefault="00CF2386" w:rsidP="00CF2386">
            <w:pPr>
              <w:widowControl/>
              <w:numPr>
                <w:ilvl w:val="0"/>
                <w:numId w:val="1"/>
              </w:numPr>
            </w:pPr>
            <w:r>
              <w:t>Work is performed while standing, sitting, and/or walking</w:t>
            </w:r>
          </w:p>
          <w:p w:rsidR="00CF2386" w:rsidRDefault="00CF2386" w:rsidP="00CF2386">
            <w:pPr>
              <w:widowControl/>
              <w:numPr>
                <w:ilvl w:val="0"/>
                <w:numId w:val="1"/>
              </w:numPr>
            </w:pPr>
            <w:r>
              <w:t>Requires the ability to communicate effectively using speech, vision, and hearing</w:t>
            </w:r>
          </w:p>
          <w:p w:rsidR="00CF2386" w:rsidRDefault="00CF2386" w:rsidP="00CF2386">
            <w:pPr>
              <w:widowControl/>
              <w:numPr>
                <w:ilvl w:val="0"/>
                <w:numId w:val="1"/>
              </w:numPr>
            </w:pPr>
            <w:r>
              <w:t>Requires the use of hands for simple grasping and fine motor manipulating</w:t>
            </w:r>
          </w:p>
          <w:p w:rsidR="00CF2386" w:rsidRDefault="00CF2386" w:rsidP="00CF2386">
            <w:pPr>
              <w:widowControl/>
              <w:numPr>
                <w:ilvl w:val="0"/>
                <w:numId w:val="1"/>
              </w:numPr>
            </w:pPr>
            <w:r>
              <w:t>Requires bending, squatting, crawling, climbing, and reaching</w:t>
            </w:r>
          </w:p>
          <w:p w:rsidR="00CF2386" w:rsidRDefault="00CF2386" w:rsidP="00CF2386">
            <w:pPr>
              <w:widowControl/>
              <w:numPr>
                <w:ilvl w:val="0"/>
                <w:numId w:val="1"/>
              </w:numPr>
            </w:pPr>
            <w:r>
              <w:lastRenderedPageBreak/>
              <w:t>Requires the ability to lift, carry, push, or pull weight</w:t>
            </w:r>
          </w:p>
          <w:p w:rsidR="00CF2386" w:rsidRPr="00CF2386" w:rsidRDefault="00CF2386" w:rsidP="00CF2386">
            <w:pPr>
              <w:widowControl/>
              <w:numPr>
                <w:ilvl w:val="0"/>
                <w:numId w:val="1"/>
              </w:numPr>
            </w:pPr>
            <w:r>
              <w:rPr>
                <w:color w:val="000000"/>
              </w:rPr>
              <w:t xml:space="preserve">Reasonable accommodations </w:t>
            </w:r>
            <w:proofErr w:type="gramStart"/>
            <w:r>
              <w:rPr>
                <w:color w:val="000000"/>
              </w:rPr>
              <w:t>may be made</w:t>
            </w:r>
            <w:proofErr w:type="gramEnd"/>
            <w:r>
              <w:rPr>
                <w:color w:val="000000"/>
              </w:rPr>
              <w:t xml:space="preserve"> to enable a person with a disability to perform the essential functions of the job.</w:t>
            </w:r>
          </w:p>
        </w:tc>
      </w:tr>
      <w:tr w:rsidR="00074010">
        <w:trPr>
          <w:trHeight w:val="247"/>
        </w:trPr>
        <w:tc>
          <w:tcPr>
            <w:tcW w:w="92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:rsidR="00074010" w:rsidRDefault="00CF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0"/>
              </w:tabs>
              <w:spacing w:before="1" w:line="226" w:lineRule="auto"/>
              <w:ind w:left="2677" w:right="26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MINIMUM QUALIFICATIONS</w:t>
            </w:r>
          </w:p>
        </w:tc>
      </w:tr>
      <w:tr w:rsidR="00074010">
        <w:trPr>
          <w:trHeight w:val="28"/>
        </w:trPr>
        <w:tc>
          <w:tcPr>
            <w:tcW w:w="92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4010" w:rsidRDefault="00074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74010">
        <w:trPr>
          <w:trHeight w:val="594"/>
        </w:trPr>
        <w:tc>
          <w:tcPr>
            <w:tcW w:w="92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74010" w:rsidRDefault="00CF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94"/>
            </w:pPr>
            <w:r>
              <w:rPr>
                <w:b/>
                <w:color w:val="000000"/>
              </w:rPr>
              <w:t>E</w:t>
            </w:r>
            <w:r>
              <w:rPr>
                <w:b/>
              </w:rPr>
              <w:t>DUCATION AND EXPERIENCE</w:t>
            </w:r>
            <w:r>
              <w:rPr>
                <w:color w:val="000000"/>
              </w:rPr>
              <w:t xml:space="preserve">: </w:t>
            </w:r>
            <w:r w:rsidRPr="00CF2386">
              <w:rPr>
                <w:color w:val="000000"/>
              </w:rPr>
              <w:t>Any combination equivalent to:  high school diploma, G.E.D. Certificate or demonstrated progress toward obtaining a G.E.D. as required by Kentucky law and experience working with multi-cultural clientele.  Applicants need to be bilingual in English and Spanish</w:t>
            </w:r>
            <w:r>
              <w:rPr>
                <w:color w:val="000000"/>
              </w:rPr>
              <w:t>.</w:t>
            </w:r>
          </w:p>
        </w:tc>
      </w:tr>
      <w:tr w:rsidR="00074010">
        <w:trPr>
          <w:trHeight w:val="271"/>
        </w:trPr>
        <w:tc>
          <w:tcPr>
            <w:tcW w:w="92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:rsidR="00074010" w:rsidRDefault="00CF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680" w:right="261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IMPORTANT NOTES</w:t>
            </w:r>
          </w:p>
        </w:tc>
      </w:tr>
      <w:tr w:rsidR="00074010">
        <w:trPr>
          <w:trHeight w:val="28"/>
        </w:trPr>
        <w:tc>
          <w:tcPr>
            <w:tcW w:w="92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4010" w:rsidRDefault="00074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74010">
        <w:trPr>
          <w:trHeight w:val="1389"/>
        </w:trPr>
        <w:tc>
          <w:tcPr>
            <w:tcW w:w="92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74010" w:rsidRDefault="00CF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i/>
                <w:color w:val="000000"/>
                <w:sz w:val="16"/>
                <w:szCs w:val="16"/>
              </w:rPr>
            </w:pPr>
            <w:bookmarkStart w:id="1" w:name="_heading=h.1fob9te" w:colFirst="0" w:colLast="0"/>
            <w:bookmarkEnd w:id="1"/>
            <w:r>
              <w:rPr>
                <w:i/>
                <w:color w:val="000000"/>
                <w:sz w:val="16"/>
                <w:szCs w:val="16"/>
              </w:rPr>
              <w:t xml:space="preserve">Work actually performed by incumbents in this position may vary. Although this document </w:t>
            </w:r>
            <w:proofErr w:type="gramStart"/>
            <w:r>
              <w:rPr>
                <w:i/>
                <w:color w:val="000000"/>
                <w:sz w:val="16"/>
                <w:szCs w:val="16"/>
              </w:rPr>
              <w:t>may be used</w:t>
            </w:r>
            <w:proofErr w:type="gramEnd"/>
            <w:r>
              <w:rPr>
                <w:i/>
                <w:color w:val="000000"/>
                <w:sz w:val="16"/>
                <w:szCs w:val="16"/>
              </w:rPr>
              <w:t xml:space="preserve"> for recruiting, staffing, or career planning, the information contained herein should only be used as a guideline or recommendation for the content and qual</w:t>
            </w:r>
            <w:r>
              <w:rPr>
                <w:i/>
                <w:color w:val="000000"/>
                <w:sz w:val="16"/>
                <w:szCs w:val="16"/>
              </w:rPr>
              <w:t>ifications for this position. An individual’s ability to meet the qualifications and capabilities described in this document is not a guarantee of employment or promotion. Mercer County School District reserves the right to make changes to this document as</w:t>
            </w:r>
            <w:r>
              <w:rPr>
                <w:i/>
                <w:color w:val="000000"/>
                <w:sz w:val="16"/>
                <w:szCs w:val="16"/>
              </w:rPr>
              <w:t xml:space="preserve"> deemed necessary without providing advance written notice. This employer does not knowingly discriminate </w:t>
            </w:r>
            <w:proofErr w:type="gramStart"/>
            <w:r>
              <w:rPr>
                <w:i/>
                <w:color w:val="000000"/>
                <w:sz w:val="16"/>
                <w:szCs w:val="16"/>
              </w:rPr>
              <w:t>on the basis of</w:t>
            </w:r>
            <w:proofErr w:type="gramEnd"/>
            <w:r>
              <w:rPr>
                <w:i/>
                <w:color w:val="000000"/>
                <w:sz w:val="16"/>
                <w:szCs w:val="16"/>
              </w:rPr>
              <w:t xml:space="preserve"> race, color, religion, sex, sexual orientation, age, disability, or national origin.</w:t>
            </w:r>
          </w:p>
        </w:tc>
      </w:tr>
      <w:tr w:rsidR="00074010">
        <w:trPr>
          <w:trHeight w:val="28"/>
        </w:trPr>
        <w:tc>
          <w:tcPr>
            <w:tcW w:w="92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4010" w:rsidRDefault="00074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</w:tbl>
    <w:p w:rsidR="00074010" w:rsidRDefault="00074010">
      <w:bookmarkStart w:id="2" w:name="_GoBack"/>
      <w:bookmarkEnd w:id="2"/>
    </w:p>
    <w:sectPr w:rsidR="0007401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29E"/>
    <w:multiLevelType w:val="multilevel"/>
    <w:tmpl w:val="11261C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C34E7D"/>
    <w:multiLevelType w:val="multilevel"/>
    <w:tmpl w:val="B24245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5A4D11"/>
    <w:multiLevelType w:val="multilevel"/>
    <w:tmpl w:val="9A4A77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10"/>
    <w:rsid w:val="00074010"/>
    <w:rsid w:val="00C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D87C"/>
  <w15:docId w15:val="{68CD8085-76F6-4DF6-AC51-D542B060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A60"/>
    <w:pPr>
      <w:autoSpaceDE w:val="0"/>
      <w:autoSpaceDN w:val="0"/>
    </w:pPr>
    <w:rPr>
      <w:lang w:bidi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1F7A60"/>
    <w:pPr>
      <w:ind w:left="814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ED"/>
    <w:rPr>
      <w:rFonts w:ascii="Segoe UI" w:hAnsi="Segoe UI" w:cs="Segoe UI"/>
      <w:sz w:val="18"/>
      <w:szCs w:val="18"/>
      <w:lang w:bidi="en-US"/>
    </w:r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F92E10"/>
    <w:pPr>
      <w:widowControl/>
    </w:pPr>
    <w:rPr>
      <w:rFonts w:asciiTheme="minorHAnsi" w:eastAsiaTheme="minorHAnsi" w:hAnsiTheme="minorHAnsi" w:cstheme="minorBidi"/>
    </w:r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A3410"/>
    <w:pPr>
      <w:ind w:left="720"/>
      <w:contextualSpacing/>
    </w:p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e8HvcWrW0Zbyl+Bicqy5N5omw==">CgMxLjAyCGguZ2pkZ3hzMgloLjMwajB6bGwyCWguMWZvYjl0ZTgAciExZFh1VWZlM2dWcC02NG0xMTNvSGtQR0J3RXYxX0JhWXk=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Hayslett, Esther - Mercer</dc:creator>
  <cp:lastModifiedBy>Amber Minor</cp:lastModifiedBy>
  <cp:revision>2</cp:revision>
  <dcterms:created xsi:type="dcterms:W3CDTF">2024-10-02T15:43:00Z</dcterms:created>
  <dcterms:modified xsi:type="dcterms:W3CDTF">2024-10-02T15:43:00Z</dcterms:modified>
</cp:coreProperties>
</file>