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 8/8/2024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Children’s Home of Northern Kentucky (CHNK)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7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        Day Treatment Therapeutic Services, LEAD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August 2024 - June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Policy 10.3 Relationships with Community Organizations; Strategic Plan Connection: Goal 3. Stakeholder Engagement, Objective 3B (1) Foster relationships with business and community partners, engage in community outreach, and develop alumni connections to strengthen stakeholder engagement.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Children’s Home of Northern Kentucky (CHNK) will provide 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Day Treatment Therapeutic Services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include comprehensive assessments, individualized treatment plans,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individual and family therapy sessions, case management services, aftercare plans, and follow up evaluations. In collaboration, Boone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County Schools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will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provid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education services and Children’s Home of Northern Kentucky (CHNK) providing mental health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State Funding (Medicaid)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     *If more than one funding source, list below along with amount or percent for each source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agreement for Day Treatment Therapeutic Services / LEAD, between Children’s Home of Northern Kentucky (CHNK) and Boone County School District, as presented.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Kathleen G. Reutman, Executive Director, Student/Community Services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I8UKCINP1TBO1tuWdDJLg7edtw==">CgMxLjA4AHIhMXBadmJxSk5QLXFSNEtIUFlfTmU4WXdEMmRJNXM5amUw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2024-07-31T16:03:00Z</dcterms:created>
  <dc:creator>Staff</dc:creator>
</cp:coreProperties>
</file>