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59" w:rsidRDefault="00C15A59" w:rsidP="00C15A59">
      <w:pPr>
        <w:pStyle w:val="NoSpacing"/>
        <w:jc w:val="center"/>
        <w:rPr>
          <w:rFonts w:ascii="Arial Rounded MT Bold" w:hAnsi="Arial Rounded MT Bold"/>
          <w:sz w:val="40"/>
          <w:szCs w:val="40"/>
        </w:rPr>
      </w:pPr>
      <w:r w:rsidRPr="001B7E01">
        <w:rPr>
          <w:rFonts w:ascii="Arial Rounded MT Bold" w:hAnsi="Arial Rounded MT Bold"/>
          <w:sz w:val="40"/>
          <w:szCs w:val="40"/>
        </w:rPr>
        <w:t>Maps Data</w:t>
      </w:r>
    </w:p>
    <w:p w:rsidR="00C15A59" w:rsidRPr="001B7E01" w:rsidRDefault="00C15A59" w:rsidP="00C15A59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 w:rsidRPr="001B7E01">
        <w:rPr>
          <w:rFonts w:ascii="Arial Rounded MT Bold" w:hAnsi="Arial Rounded MT Bold"/>
          <w:sz w:val="28"/>
          <w:szCs w:val="28"/>
        </w:rPr>
        <w:t>Reading</w:t>
      </w:r>
    </w:p>
    <w:p w:rsidR="00C15A59" w:rsidRPr="001B7E01" w:rsidRDefault="00C15A59" w:rsidP="00C15A59">
      <w:pPr>
        <w:pStyle w:val="NoSpacing"/>
        <w:jc w:val="center"/>
        <w:rPr>
          <w:sz w:val="28"/>
          <w:szCs w:val="28"/>
        </w:rPr>
      </w:pPr>
      <w:r w:rsidRPr="001B7E01">
        <w:rPr>
          <w:sz w:val="28"/>
          <w:szCs w:val="28"/>
        </w:rPr>
        <w:t>Kindergarten 2009-2010</w:t>
      </w:r>
    </w:p>
    <w:p w:rsidR="00C15A59" w:rsidRPr="001B7E01" w:rsidRDefault="00C15A59" w:rsidP="00C15A59">
      <w:pPr>
        <w:pStyle w:val="NoSpacing"/>
        <w:jc w:val="center"/>
        <w:rPr>
          <w:sz w:val="24"/>
          <w:szCs w:val="24"/>
        </w:rPr>
      </w:pPr>
      <w:r w:rsidRPr="001B7E01">
        <w:rPr>
          <w:sz w:val="24"/>
          <w:szCs w:val="24"/>
        </w:rPr>
        <w:t>Attended Preschool 2008-2009</w:t>
      </w:r>
    </w:p>
    <w:p w:rsidR="00C15A59" w:rsidRPr="001B7E01" w:rsidRDefault="00C15A59" w:rsidP="00C15A59">
      <w:pPr>
        <w:pStyle w:val="NoSpacing"/>
        <w:jc w:val="center"/>
        <w:rPr>
          <w:i/>
          <w:sz w:val="20"/>
          <w:szCs w:val="20"/>
        </w:rPr>
      </w:pPr>
    </w:p>
    <w:p w:rsidR="00C15A59" w:rsidRPr="001B7E01" w:rsidRDefault="00C15A59" w:rsidP="00C15A59">
      <w:pPr>
        <w:pStyle w:val="NoSpacing"/>
        <w:rPr>
          <w:rFonts w:ascii="Arial Rounded MT Bold" w:hAnsi="Arial Rounded MT Bold" w:cs="Arial"/>
          <w:color w:val="7030A0"/>
          <w:sz w:val="28"/>
          <w:szCs w:val="28"/>
        </w:rPr>
      </w:pPr>
      <w:r w:rsidRPr="001B7E01">
        <w:rPr>
          <w:rFonts w:ascii="Arial Rounded MT Bold" w:hAnsi="Arial Rounded MT Bold" w:cs="Arial"/>
          <w:color w:val="7030A0"/>
          <w:sz w:val="28"/>
          <w:szCs w:val="28"/>
        </w:rPr>
        <w:t>Reading levels</w:t>
      </w:r>
    </w:p>
    <w:tbl>
      <w:tblPr>
        <w:tblStyle w:val="LightGrid-Accent4"/>
        <w:tblW w:w="0" w:type="auto"/>
        <w:tblLook w:val="04A0"/>
      </w:tblPr>
      <w:tblGrid>
        <w:gridCol w:w="1286"/>
        <w:gridCol w:w="1080"/>
        <w:gridCol w:w="1003"/>
        <w:gridCol w:w="1065"/>
        <w:gridCol w:w="1003"/>
        <w:gridCol w:w="1084"/>
        <w:gridCol w:w="1003"/>
        <w:gridCol w:w="1042"/>
        <w:gridCol w:w="1010"/>
      </w:tblGrid>
      <w:tr w:rsidR="00C15A59" w:rsidTr="00C15A59">
        <w:trPr>
          <w:cnfStyle w:val="100000000000"/>
        </w:trPr>
        <w:tc>
          <w:tcPr>
            <w:cnfStyle w:val="001000000000"/>
            <w:tcW w:w="1286" w:type="dxa"/>
          </w:tcPr>
          <w:p w:rsidR="00C15A59" w:rsidRDefault="00C15A59" w:rsidP="00C15A59">
            <w:r>
              <w:t>School</w:t>
            </w:r>
          </w:p>
        </w:tc>
        <w:tc>
          <w:tcPr>
            <w:tcW w:w="1080" w:type="dxa"/>
          </w:tcPr>
          <w:p w:rsidR="00C15A59" w:rsidRDefault="00C15A59" w:rsidP="00C15A59">
            <w:pPr>
              <w:cnfStyle w:val="100000000000"/>
            </w:pPr>
            <w:r>
              <w:t>Below Grade Level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100000000000"/>
            </w:pPr>
            <w:r>
              <w:t>Percent</w:t>
            </w:r>
          </w:p>
        </w:tc>
        <w:tc>
          <w:tcPr>
            <w:tcW w:w="1065" w:type="dxa"/>
          </w:tcPr>
          <w:p w:rsidR="00C15A59" w:rsidRDefault="00C15A59" w:rsidP="00C15A59">
            <w:pPr>
              <w:cnfStyle w:val="100000000000"/>
            </w:pPr>
            <w:r>
              <w:t>At Grade Level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100000000000"/>
            </w:pPr>
            <w:r>
              <w:t>Percent</w:t>
            </w:r>
          </w:p>
        </w:tc>
        <w:tc>
          <w:tcPr>
            <w:tcW w:w="1084" w:type="dxa"/>
          </w:tcPr>
          <w:p w:rsidR="00C15A59" w:rsidRDefault="00C15A59" w:rsidP="00C15A59">
            <w:pPr>
              <w:cnfStyle w:val="100000000000"/>
            </w:pPr>
            <w:r>
              <w:t>Above Grade Level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100000000000"/>
            </w:pPr>
            <w:r>
              <w:t>Percent</w:t>
            </w:r>
          </w:p>
        </w:tc>
        <w:tc>
          <w:tcPr>
            <w:tcW w:w="1042" w:type="dxa"/>
          </w:tcPr>
          <w:p w:rsidR="00C15A59" w:rsidRDefault="00C15A59" w:rsidP="00C15A59">
            <w:pPr>
              <w:cnfStyle w:val="100000000000"/>
            </w:pPr>
            <w:r>
              <w:t>Gifted Range</w:t>
            </w:r>
          </w:p>
        </w:tc>
        <w:tc>
          <w:tcPr>
            <w:tcW w:w="1010" w:type="dxa"/>
          </w:tcPr>
          <w:p w:rsidR="00C15A59" w:rsidRDefault="00C15A59" w:rsidP="00C15A59">
            <w:pPr>
              <w:cnfStyle w:val="100000000000"/>
            </w:pPr>
            <w:r>
              <w:t>Percent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286" w:type="dxa"/>
          </w:tcPr>
          <w:p w:rsidR="00C15A59" w:rsidRDefault="00C15A59" w:rsidP="00C15A59">
            <w:r>
              <w:t>AB Chandler</w:t>
            </w:r>
          </w:p>
        </w:tc>
        <w:tc>
          <w:tcPr>
            <w:tcW w:w="1080" w:type="dxa"/>
          </w:tcPr>
          <w:p w:rsidR="00C15A59" w:rsidRDefault="00C15A59" w:rsidP="00C15A59">
            <w:pPr>
              <w:cnfStyle w:val="000000100000"/>
            </w:pPr>
            <w:r>
              <w:t>1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4%</w:t>
            </w:r>
          </w:p>
        </w:tc>
        <w:tc>
          <w:tcPr>
            <w:tcW w:w="1065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0%</w:t>
            </w:r>
          </w:p>
        </w:tc>
        <w:tc>
          <w:tcPr>
            <w:tcW w:w="1084" w:type="dxa"/>
          </w:tcPr>
          <w:p w:rsidR="00C15A59" w:rsidRDefault="00C15A59" w:rsidP="00C15A59">
            <w:pPr>
              <w:cnfStyle w:val="000000100000"/>
            </w:pPr>
            <w:r>
              <w:t>14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61%</w:t>
            </w:r>
          </w:p>
        </w:tc>
        <w:tc>
          <w:tcPr>
            <w:tcW w:w="1042" w:type="dxa"/>
          </w:tcPr>
          <w:p w:rsidR="00C15A59" w:rsidRDefault="00C15A59" w:rsidP="00C15A59">
            <w:pPr>
              <w:cnfStyle w:val="000000100000"/>
            </w:pPr>
            <w:r>
              <w:t>8</w:t>
            </w:r>
          </w:p>
        </w:tc>
        <w:tc>
          <w:tcPr>
            <w:tcW w:w="1010" w:type="dxa"/>
          </w:tcPr>
          <w:p w:rsidR="00C15A59" w:rsidRDefault="00C15A59" w:rsidP="00C15A59">
            <w:pPr>
              <w:cnfStyle w:val="000000100000"/>
            </w:pPr>
            <w:r>
              <w:t>35%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286" w:type="dxa"/>
          </w:tcPr>
          <w:p w:rsidR="00C15A59" w:rsidRDefault="00C15A59" w:rsidP="00C15A59">
            <w:r>
              <w:t>Bend Gate</w:t>
            </w:r>
          </w:p>
        </w:tc>
        <w:tc>
          <w:tcPr>
            <w:tcW w:w="1080" w:type="dxa"/>
          </w:tcPr>
          <w:p w:rsidR="00C15A59" w:rsidRDefault="00C15A59" w:rsidP="00C15A59">
            <w:pPr>
              <w:cnfStyle w:val="000000010000"/>
            </w:pPr>
            <w:r>
              <w:t>5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14%</w:t>
            </w:r>
          </w:p>
        </w:tc>
        <w:tc>
          <w:tcPr>
            <w:tcW w:w="1065" w:type="dxa"/>
          </w:tcPr>
          <w:p w:rsidR="00C15A59" w:rsidRDefault="00C15A59" w:rsidP="00C15A59">
            <w:pPr>
              <w:cnfStyle w:val="000000010000"/>
            </w:pPr>
            <w:r>
              <w:t>1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3%</w:t>
            </w:r>
          </w:p>
        </w:tc>
        <w:tc>
          <w:tcPr>
            <w:tcW w:w="1084" w:type="dxa"/>
          </w:tcPr>
          <w:p w:rsidR="00C15A59" w:rsidRDefault="00C15A59" w:rsidP="00C15A59">
            <w:pPr>
              <w:cnfStyle w:val="000000010000"/>
            </w:pPr>
            <w:r>
              <w:t>23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64%</w:t>
            </w:r>
          </w:p>
        </w:tc>
        <w:tc>
          <w:tcPr>
            <w:tcW w:w="1042" w:type="dxa"/>
          </w:tcPr>
          <w:p w:rsidR="00C15A59" w:rsidRDefault="00C15A59" w:rsidP="00C15A59">
            <w:pPr>
              <w:cnfStyle w:val="000000010000"/>
            </w:pPr>
            <w:r>
              <w:t>7</w:t>
            </w:r>
          </w:p>
        </w:tc>
        <w:tc>
          <w:tcPr>
            <w:tcW w:w="1010" w:type="dxa"/>
          </w:tcPr>
          <w:p w:rsidR="00C15A59" w:rsidRDefault="00C15A59" w:rsidP="00C15A59">
            <w:pPr>
              <w:cnfStyle w:val="000000010000"/>
            </w:pPr>
            <w:r>
              <w:t>19%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286" w:type="dxa"/>
          </w:tcPr>
          <w:p w:rsidR="00C15A59" w:rsidRDefault="00C15A59" w:rsidP="00C15A59">
            <w:r>
              <w:t>East Heights</w:t>
            </w:r>
          </w:p>
        </w:tc>
        <w:tc>
          <w:tcPr>
            <w:tcW w:w="1080" w:type="dxa"/>
          </w:tcPr>
          <w:p w:rsidR="00C15A59" w:rsidRDefault="00C15A59" w:rsidP="00C15A59">
            <w:pPr>
              <w:cnfStyle w:val="000000100000"/>
            </w:pPr>
            <w:r>
              <w:t>5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13%</w:t>
            </w:r>
          </w:p>
        </w:tc>
        <w:tc>
          <w:tcPr>
            <w:tcW w:w="1065" w:type="dxa"/>
          </w:tcPr>
          <w:p w:rsidR="00C15A59" w:rsidRDefault="00C15A59" w:rsidP="00C15A59">
            <w:pPr>
              <w:cnfStyle w:val="000000100000"/>
            </w:pPr>
            <w:r>
              <w:t>4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10%</w:t>
            </w:r>
          </w:p>
        </w:tc>
        <w:tc>
          <w:tcPr>
            <w:tcW w:w="1084" w:type="dxa"/>
          </w:tcPr>
          <w:p w:rsidR="00C15A59" w:rsidRDefault="00C15A59" w:rsidP="00C15A59">
            <w:pPr>
              <w:cnfStyle w:val="000000100000"/>
            </w:pPr>
            <w:r>
              <w:t>22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56%</w:t>
            </w:r>
          </w:p>
        </w:tc>
        <w:tc>
          <w:tcPr>
            <w:tcW w:w="1042" w:type="dxa"/>
          </w:tcPr>
          <w:p w:rsidR="00C15A59" w:rsidRDefault="00C15A59" w:rsidP="00C15A59">
            <w:pPr>
              <w:cnfStyle w:val="000000100000"/>
            </w:pPr>
            <w:r>
              <w:t>8</w:t>
            </w:r>
          </w:p>
        </w:tc>
        <w:tc>
          <w:tcPr>
            <w:tcW w:w="1010" w:type="dxa"/>
          </w:tcPr>
          <w:p w:rsidR="00C15A59" w:rsidRDefault="00C15A59" w:rsidP="00C15A59">
            <w:pPr>
              <w:cnfStyle w:val="000000100000"/>
            </w:pPr>
            <w:r>
              <w:t>21%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286" w:type="dxa"/>
          </w:tcPr>
          <w:p w:rsidR="00C15A59" w:rsidRDefault="00C15A59" w:rsidP="00C15A59">
            <w:r>
              <w:t>Jefferson I</w:t>
            </w:r>
          </w:p>
        </w:tc>
        <w:tc>
          <w:tcPr>
            <w:tcW w:w="1080" w:type="dxa"/>
          </w:tcPr>
          <w:p w:rsidR="00C15A59" w:rsidRDefault="00C15A59" w:rsidP="00C15A59">
            <w:pPr>
              <w:cnfStyle w:val="000000010000"/>
            </w:pPr>
            <w:r>
              <w:t>5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33%</w:t>
            </w:r>
          </w:p>
        </w:tc>
        <w:tc>
          <w:tcPr>
            <w:tcW w:w="1065" w:type="dxa"/>
          </w:tcPr>
          <w:p w:rsidR="00C15A59" w:rsidRDefault="00C15A59" w:rsidP="00C15A59">
            <w:pPr>
              <w:cnfStyle w:val="000000010000"/>
            </w:pPr>
            <w:r>
              <w:t>0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0%</w:t>
            </w:r>
          </w:p>
        </w:tc>
        <w:tc>
          <w:tcPr>
            <w:tcW w:w="1084" w:type="dxa"/>
          </w:tcPr>
          <w:p w:rsidR="00C15A59" w:rsidRDefault="00C15A59" w:rsidP="00C15A59">
            <w:pPr>
              <w:cnfStyle w:val="000000010000"/>
            </w:pPr>
            <w:r>
              <w:t>7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47%</w:t>
            </w:r>
          </w:p>
        </w:tc>
        <w:tc>
          <w:tcPr>
            <w:tcW w:w="1042" w:type="dxa"/>
          </w:tcPr>
          <w:p w:rsidR="00C15A59" w:rsidRDefault="00C15A59" w:rsidP="00C15A59">
            <w:pPr>
              <w:cnfStyle w:val="000000010000"/>
            </w:pPr>
            <w:r>
              <w:t>3</w:t>
            </w:r>
          </w:p>
        </w:tc>
        <w:tc>
          <w:tcPr>
            <w:tcW w:w="1010" w:type="dxa"/>
          </w:tcPr>
          <w:p w:rsidR="00C15A59" w:rsidRDefault="00C15A59" w:rsidP="00C15A59">
            <w:pPr>
              <w:cnfStyle w:val="000000010000"/>
            </w:pPr>
            <w:r>
              <w:t>20%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286" w:type="dxa"/>
          </w:tcPr>
          <w:p w:rsidR="00C15A59" w:rsidRDefault="00C15A59" w:rsidP="00C15A59">
            <w:r>
              <w:t>Jefferson II</w:t>
            </w:r>
          </w:p>
        </w:tc>
        <w:tc>
          <w:tcPr>
            <w:tcW w:w="1080" w:type="dxa"/>
          </w:tcPr>
          <w:p w:rsidR="00C15A59" w:rsidRDefault="00C15A59" w:rsidP="00C15A59">
            <w:pPr>
              <w:cnfStyle w:val="000000100000"/>
            </w:pPr>
            <w:r>
              <w:t>12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31%</w:t>
            </w:r>
          </w:p>
        </w:tc>
        <w:tc>
          <w:tcPr>
            <w:tcW w:w="1065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0%</w:t>
            </w:r>
          </w:p>
        </w:tc>
        <w:tc>
          <w:tcPr>
            <w:tcW w:w="1084" w:type="dxa"/>
          </w:tcPr>
          <w:p w:rsidR="00C15A59" w:rsidRDefault="00C15A59" w:rsidP="00C15A59">
            <w:pPr>
              <w:cnfStyle w:val="000000100000"/>
            </w:pPr>
            <w:r>
              <w:t>14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41%</w:t>
            </w:r>
          </w:p>
        </w:tc>
        <w:tc>
          <w:tcPr>
            <w:tcW w:w="1042" w:type="dxa"/>
          </w:tcPr>
          <w:p w:rsidR="00C15A59" w:rsidRDefault="00C15A59" w:rsidP="00C15A59">
            <w:pPr>
              <w:cnfStyle w:val="000000100000"/>
            </w:pPr>
            <w:r>
              <w:t>8</w:t>
            </w:r>
          </w:p>
        </w:tc>
        <w:tc>
          <w:tcPr>
            <w:tcW w:w="1010" w:type="dxa"/>
          </w:tcPr>
          <w:p w:rsidR="00C15A59" w:rsidRDefault="00C15A59" w:rsidP="00C15A59">
            <w:pPr>
              <w:cnfStyle w:val="000000100000"/>
            </w:pPr>
            <w:r>
              <w:t>24%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286" w:type="dxa"/>
          </w:tcPr>
          <w:p w:rsidR="00C15A59" w:rsidRDefault="00C15A59" w:rsidP="00C15A59">
            <w:r>
              <w:t>Niagara</w:t>
            </w:r>
          </w:p>
        </w:tc>
        <w:tc>
          <w:tcPr>
            <w:tcW w:w="1080" w:type="dxa"/>
          </w:tcPr>
          <w:p w:rsidR="00C15A59" w:rsidRDefault="00C15A59" w:rsidP="00C15A59">
            <w:pPr>
              <w:cnfStyle w:val="000000010000"/>
            </w:pPr>
            <w:r>
              <w:t>1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3%</w:t>
            </w:r>
          </w:p>
        </w:tc>
        <w:tc>
          <w:tcPr>
            <w:tcW w:w="1065" w:type="dxa"/>
          </w:tcPr>
          <w:p w:rsidR="00C15A59" w:rsidRDefault="00C15A59" w:rsidP="00C15A59">
            <w:pPr>
              <w:cnfStyle w:val="000000010000"/>
            </w:pPr>
            <w:r>
              <w:t>1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3%</w:t>
            </w:r>
          </w:p>
        </w:tc>
        <w:tc>
          <w:tcPr>
            <w:tcW w:w="1084" w:type="dxa"/>
          </w:tcPr>
          <w:p w:rsidR="00C15A59" w:rsidRDefault="00C15A59" w:rsidP="00C15A59">
            <w:pPr>
              <w:cnfStyle w:val="000000010000"/>
            </w:pPr>
            <w:r>
              <w:t>12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39%</w:t>
            </w:r>
          </w:p>
        </w:tc>
        <w:tc>
          <w:tcPr>
            <w:tcW w:w="1042" w:type="dxa"/>
          </w:tcPr>
          <w:p w:rsidR="00C15A59" w:rsidRDefault="00C15A59" w:rsidP="00C15A59">
            <w:pPr>
              <w:cnfStyle w:val="000000010000"/>
            </w:pPr>
            <w:r>
              <w:t>17</w:t>
            </w:r>
          </w:p>
        </w:tc>
        <w:tc>
          <w:tcPr>
            <w:tcW w:w="1010" w:type="dxa"/>
          </w:tcPr>
          <w:p w:rsidR="00C15A59" w:rsidRDefault="00C15A59" w:rsidP="00C15A59">
            <w:pPr>
              <w:cnfStyle w:val="000000010000"/>
            </w:pPr>
            <w:r>
              <w:t>55%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286" w:type="dxa"/>
          </w:tcPr>
          <w:p w:rsidR="00C15A59" w:rsidRDefault="00C15A59" w:rsidP="00C15A59">
            <w:r>
              <w:t>South Heights</w:t>
            </w:r>
          </w:p>
        </w:tc>
        <w:tc>
          <w:tcPr>
            <w:tcW w:w="1080" w:type="dxa"/>
          </w:tcPr>
          <w:p w:rsidR="00C15A59" w:rsidRDefault="00C15A59" w:rsidP="00C15A59">
            <w:pPr>
              <w:cnfStyle w:val="000000100000"/>
            </w:pPr>
            <w:r>
              <w:t>4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20%</w:t>
            </w:r>
          </w:p>
        </w:tc>
        <w:tc>
          <w:tcPr>
            <w:tcW w:w="1065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0%</w:t>
            </w:r>
          </w:p>
        </w:tc>
        <w:tc>
          <w:tcPr>
            <w:tcW w:w="1084" w:type="dxa"/>
          </w:tcPr>
          <w:p w:rsidR="00C15A59" w:rsidRDefault="00C15A59" w:rsidP="00C15A59">
            <w:pPr>
              <w:cnfStyle w:val="000000100000"/>
            </w:pPr>
            <w:r>
              <w:t>10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50%</w:t>
            </w:r>
          </w:p>
        </w:tc>
        <w:tc>
          <w:tcPr>
            <w:tcW w:w="1042" w:type="dxa"/>
          </w:tcPr>
          <w:p w:rsidR="00C15A59" w:rsidRDefault="00C15A59" w:rsidP="00C15A59">
            <w:pPr>
              <w:cnfStyle w:val="000000100000"/>
            </w:pPr>
            <w:r>
              <w:t>6</w:t>
            </w:r>
          </w:p>
        </w:tc>
        <w:tc>
          <w:tcPr>
            <w:tcW w:w="1010" w:type="dxa"/>
          </w:tcPr>
          <w:p w:rsidR="00C15A59" w:rsidRDefault="00C15A59" w:rsidP="00C15A59">
            <w:pPr>
              <w:cnfStyle w:val="000000100000"/>
            </w:pPr>
            <w:r>
              <w:t>30%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286" w:type="dxa"/>
          </w:tcPr>
          <w:p w:rsidR="00C15A59" w:rsidRDefault="00C15A59" w:rsidP="00C15A59">
            <w:proofErr w:type="spellStart"/>
            <w:r>
              <w:t>Spottsville</w:t>
            </w:r>
            <w:proofErr w:type="spellEnd"/>
          </w:p>
        </w:tc>
        <w:tc>
          <w:tcPr>
            <w:tcW w:w="1080" w:type="dxa"/>
          </w:tcPr>
          <w:p w:rsidR="00C15A59" w:rsidRDefault="00C15A59" w:rsidP="00C15A59">
            <w:pPr>
              <w:cnfStyle w:val="000000010000"/>
            </w:pPr>
            <w:r>
              <w:t>4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10%</w:t>
            </w:r>
          </w:p>
        </w:tc>
        <w:tc>
          <w:tcPr>
            <w:tcW w:w="1065" w:type="dxa"/>
          </w:tcPr>
          <w:p w:rsidR="00C15A59" w:rsidRDefault="00C15A59" w:rsidP="00C15A59">
            <w:pPr>
              <w:cnfStyle w:val="000000010000"/>
            </w:pPr>
            <w:r>
              <w:t>1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2%</w:t>
            </w:r>
          </w:p>
        </w:tc>
        <w:tc>
          <w:tcPr>
            <w:tcW w:w="1084" w:type="dxa"/>
          </w:tcPr>
          <w:p w:rsidR="00C15A59" w:rsidRDefault="00C15A59" w:rsidP="00C15A59">
            <w:pPr>
              <w:cnfStyle w:val="000000010000"/>
            </w:pPr>
            <w:r>
              <w:t>16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42%</w:t>
            </w:r>
          </w:p>
        </w:tc>
        <w:tc>
          <w:tcPr>
            <w:tcW w:w="1042" w:type="dxa"/>
          </w:tcPr>
          <w:p w:rsidR="00C15A59" w:rsidRDefault="00C15A59" w:rsidP="00C15A59">
            <w:pPr>
              <w:cnfStyle w:val="000000010000"/>
            </w:pPr>
            <w:r>
              <w:t>17</w:t>
            </w:r>
          </w:p>
        </w:tc>
        <w:tc>
          <w:tcPr>
            <w:tcW w:w="1010" w:type="dxa"/>
          </w:tcPr>
          <w:p w:rsidR="00C15A59" w:rsidRDefault="00C15A59" w:rsidP="00C15A59">
            <w:pPr>
              <w:cnfStyle w:val="000000010000"/>
            </w:pPr>
            <w:r>
              <w:t>44%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286" w:type="dxa"/>
          </w:tcPr>
          <w:p w:rsidR="00C15A59" w:rsidRDefault="00C15A59" w:rsidP="00C15A59">
            <w:r>
              <w:t>District</w:t>
            </w:r>
          </w:p>
        </w:tc>
        <w:tc>
          <w:tcPr>
            <w:tcW w:w="1080" w:type="dxa"/>
          </w:tcPr>
          <w:p w:rsidR="00C15A59" w:rsidRDefault="00C15A59" w:rsidP="00C15A59">
            <w:pPr>
              <w:cnfStyle w:val="000000100000"/>
            </w:pPr>
            <w:r>
              <w:t>37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16%</w:t>
            </w:r>
          </w:p>
        </w:tc>
        <w:tc>
          <w:tcPr>
            <w:tcW w:w="1065" w:type="dxa"/>
          </w:tcPr>
          <w:p w:rsidR="00C15A59" w:rsidRDefault="00C15A59" w:rsidP="00C15A59">
            <w:pPr>
              <w:cnfStyle w:val="000000100000"/>
            </w:pPr>
            <w:r>
              <w:t>7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3%</w:t>
            </w:r>
          </w:p>
        </w:tc>
        <w:tc>
          <w:tcPr>
            <w:tcW w:w="1084" w:type="dxa"/>
          </w:tcPr>
          <w:p w:rsidR="00C15A59" w:rsidRDefault="00C15A59" w:rsidP="00C15A59">
            <w:pPr>
              <w:cnfStyle w:val="000000100000"/>
            </w:pPr>
            <w:r>
              <w:t>118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50%</w:t>
            </w:r>
          </w:p>
        </w:tc>
        <w:tc>
          <w:tcPr>
            <w:tcW w:w="1042" w:type="dxa"/>
          </w:tcPr>
          <w:p w:rsidR="00C15A59" w:rsidRDefault="00C15A59" w:rsidP="00C15A59">
            <w:pPr>
              <w:cnfStyle w:val="000000100000"/>
            </w:pPr>
            <w:r>
              <w:t>74</w:t>
            </w:r>
          </w:p>
        </w:tc>
        <w:tc>
          <w:tcPr>
            <w:tcW w:w="1010" w:type="dxa"/>
          </w:tcPr>
          <w:p w:rsidR="00C15A59" w:rsidRDefault="00C15A59" w:rsidP="00C15A59">
            <w:pPr>
              <w:cnfStyle w:val="000000100000"/>
            </w:pPr>
            <w:r>
              <w:t>31%</w:t>
            </w:r>
          </w:p>
        </w:tc>
      </w:tr>
    </w:tbl>
    <w:p w:rsidR="00C15A59" w:rsidRDefault="00C15A59" w:rsidP="00C15A59">
      <w:pPr>
        <w:pStyle w:val="NoSpacing"/>
        <w:rPr>
          <w:color w:val="92D050"/>
          <w:sz w:val="28"/>
          <w:szCs w:val="28"/>
        </w:rPr>
      </w:pPr>
    </w:p>
    <w:p w:rsidR="00C15A59" w:rsidRPr="001B7E01" w:rsidRDefault="00C15A59" w:rsidP="00C15A59">
      <w:pPr>
        <w:pStyle w:val="NoSpacing"/>
        <w:rPr>
          <w:color w:val="92D050"/>
          <w:sz w:val="28"/>
          <w:szCs w:val="28"/>
        </w:rPr>
      </w:pPr>
      <w:r w:rsidRPr="001B7E01">
        <w:rPr>
          <w:color w:val="92D050"/>
          <w:sz w:val="28"/>
          <w:szCs w:val="28"/>
        </w:rPr>
        <w:t xml:space="preserve">Children with IEPs that attended preschool </w:t>
      </w:r>
      <w:r w:rsidRPr="001B7E01">
        <w:rPr>
          <w:i/>
          <w:color w:val="92D050"/>
          <w:sz w:val="28"/>
          <w:szCs w:val="28"/>
        </w:rPr>
        <w:t>(55)</w:t>
      </w:r>
    </w:p>
    <w:tbl>
      <w:tblPr>
        <w:tblStyle w:val="LightGrid-Accent3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15A59" w:rsidTr="00C15A59">
        <w:trPr>
          <w:cnfStyle w:val="10000000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School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100000000000"/>
            </w:pPr>
            <w:r>
              <w:t>Below Grade Level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100000000000"/>
            </w:pPr>
            <w:r>
              <w:t>At Grade Level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100000000000"/>
            </w:pPr>
            <w:r>
              <w:t>Above Grade Level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100000000000"/>
            </w:pPr>
            <w:r>
              <w:t>Gifted Range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AB Chandler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3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100000"/>
            </w:pPr>
            <w:r>
              <w:t>1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Bend Gate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3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3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010000"/>
            </w:pPr>
            <w:r>
              <w:t>1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East Heights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1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2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7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100000"/>
            </w:pPr>
            <w:r>
              <w:t>1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Jefferson I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4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1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010000"/>
            </w:pPr>
            <w:r>
              <w:t>1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Jefferson II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5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3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Niagara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1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2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010000"/>
            </w:pPr>
            <w:r>
              <w:t>1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South Heights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3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4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100000"/>
            </w:pPr>
            <w:r>
              <w:t>2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915" w:type="dxa"/>
          </w:tcPr>
          <w:p w:rsidR="00C15A59" w:rsidRDefault="00C15A59" w:rsidP="00C15A59">
            <w:proofErr w:type="spellStart"/>
            <w:r>
              <w:t>Spottsville</w:t>
            </w:r>
            <w:proofErr w:type="spellEnd"/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1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4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010000"/>
            </w:pPr>
            <w:r>
              <w:t>1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District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 xml:space="preserve">18 </w:t>
            </w:r>
            <w:r w:rsidRPr="001B7E01">
              <w:rPr>
                <w:i/>
              </w:rPr>
              <w:t>(33%)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 xml:space="preserve">2 </w:t>
            </w:r>
            <w:r w:rsidRPr="001B7E01">
              <w:rPr>
                <w:i/>
              </w:rPr>
              <w:t>(4%)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 xml:space="preserve">27 </w:t>
            </w:r>
            <w:r w:rsidRPr="001B7E01">
              <w:rPr>
                <w:i/>
              </w:rPr>
              <w:t>(49%)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100000"/>
            </w:pPr>
            <w:r>
              <w:t xml:space="preserve">8 </w:t>
            </w:r>
            <w:r w:rsidRPr="001B7E01">
              <w:rPr>
                <w:i/>
              </w:rPr>
              <w:t>(15%)</w:t>
            </w:r>
          </w:p>
        </w:tc>
      </w:tr>
    </w:tbl>
    <w:p w:rsidR="00C15A59" w:rsidRDefault="00C15A59" w:rsidP="00C15A59">
      <w:pPr>
        <w:pStyle w:val="NoSpacing"/>
        <w:rPr>
          <w:color w:val="FFC000"/>
          <w:sz w:val="28"/>
          <w:szCs w:val="28"/>
        </w:rPr>
      </w:pPr>
    </w:p>
    <w:p w:rsidR="00C15A59" w:rsidRPr="001B7E01" w:rsidRDefault="00C15A59" w:rsidP="00C15A59">
      <w:pPr>
        <w:pStyle w:val="NoSpacing"/>
        <w:rPr>
          <w:color w:val="FFC000"/>
          <w:sz w:val="28"/>
          <w:szCs w:val="28"/>
        </w:rPr>
      </w:pPr>
      <w:r w:rsidRPr="001B7E01">
        <w:rPr>
          <w:color w:val="FFC000"/>
          <w:sz w:val="28"/>
          <w:szCs w:val="28"/>
        </w:rPr>
        <w:t xml:space="preserve">Students </w:t>
      </w:r>
      <w:r>
        <w:rPr>
          <w:color w:val="FFC000"/>
          <w:sz w:val="28"/>
          <w:szCs w:val="28"/>
        </w:rPr>
        <w:t>making</w:t>
      </w:r>
      <w:r w:rsidRPr="001B7E01">
        <w:rPr>
          <w:color w:val="FFC000"/>
          <w:sz w:val="28"/>
          <w:szCs w:val="28"/>
        </w:rPr>
        <w:t xml:space="preserve"> annual growth</w:t>
      </w:r>
    </w:p>
    <w:tbl>
      <w:tblPr>
        <w:tblStyle w:val="LightGrid-Accent6"/>
        <w:tblW w:w="0" w:type="auto"/>
        <w:tblLook w:val="04A0"/>
      </w:tblPr>
      <w:tblGrid>
        <w:gridCol w:w="1747"/>
        <w:gridCol w:w="2477"/>
        <w:gridCol w:w="1003"/>
      </w:tblGrid>
      <w:tr w:rsidR="00C15A59" w:rsidTr="00C15A59">
        <w:trPr>
          <w:cnfStyle w:val="10000000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School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100000000000"/>
            </w:pPr>
            <w:r>
              <w:t>Made Annual Growth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100000000000"/>
            </w:pPr>
            <w:r>
              <w:t>Percent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AB Chandler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000000100000"/>
            </w:pPr>
            <w:r>
              <w:t>23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100%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Bend Gate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000000010000"/>
            </w:pPr>
            <w:r>
              <w:t>34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94%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East Heights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000000100000"/>
            </w:pPr>
            <w:r>
              <w:t>38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97%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Jefferson I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000000010000"/>
            </w:pPr>
            <w:r>
              <w:t>14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93%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Jefferson II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000000100000"/>
            </w:pPr>
            <w:r>
              <w:t>33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97%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Niagara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000000010000"/>
            </w:pPr>
            <w:r>
              <w:t>31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100%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South Heights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000000100000"/>
            </w:pPr>
            <w:r>
              <w:t>20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100%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747" w:type="dxa"/>
          </w:tcPr>
          <w:p w:rsidR="00C15A59" w:rsidRDefault="00C15A59" w:rsidP="00C15A59">
            <w:proofErr w:type="spellStart"/>
            <w:r>
              <w:t>Spottsville</w:t>
            </w:r>
            <w:proofErr w:type="spellEnd"/>
          </w:p>
        </w:tc>
        <w:tc>
          <w:tcPr>
            <w:tcW w:w="2477" w:type="dxa"/>
          </w:tcPr>
          <w:p w:rsidR="00C15A59" w:rsidRDefault="00C15A59" w:rsidP="00C15A59">
            <w:pPr>
              <w:cnfStyle w:val="000000010000"/>
            </w:pPr>
            <w:r>
              <w:t>38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100%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District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000000100000"/>
            </w:pPr>
            <w:r>
              <w:t>231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98%</w:t>
            </w:r>
          </w:p>
        </w:tc>
      </w:tr>
    </w:tbl>
    <w:p w:rsidR="00C15A59" w:rsidRDefault="00C15A59" w:rsidP="00C15A59"/>
    <w:p w:rsidR="00C15A59" w:rsidRDefault="00C15A59" w:rsidP="00C15A59">
      <w:pPr>
        <w:pStyle w:val="NoSpacing"/>
        <w:jc w:val="center"/>
        <w:rPr>
          <w:rFonts w:ascii="Arial Rounded MT Bold" w:hAnsi="Arial Rounded MT Bold"/>
          <w:sz w:val="40"/>
          <w:szCs w:val="40"/>
        </w:rPr>
      </w:pPr>
      <w:r w:rsidRPr="001B7E01">
        <w:rPr>
          <w:rFonts w:ascii="Arial Rounded MT Bold" w:hAnsi="Arial Rounded MT Bold"/>
          <w:sz w:val="40"/>
          <w:szCs w:val="40"/>
        </w:rPr>
        <w:lastRenderedPageBreak/>
        <w:t>Maps Data</w:t>
      </w:r>
    </w:p>
    <w:p w:rsidR="00C15A59" w:rsidRPr="001B7E01" w:rsidRDefault="00C15A59" w:rsidP="00C15A59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Math</w:t>
      </w:r>
    </w:p>
    <w:p w:rsidR="00C15A59" w:rsidRPr="001B7E01" w:rsidRDefault="00C15A59" w:rsidP="00C15A59">
      <w:pPr>
        <w:pStyle w:val="NoSpacing"/>
        <w:jc w:val="center"/>
        <w:rPr>
          <w:sz w:val="28"/>
          <w:szCs w:val="28"/>
        </w:rPr>
      </w:pPr>
      <w:r w:rsidRPr="001B7E01">
        <w:rPr>
          <w:sz w:val="28"/>
          <w:szCs w:val="28"/>
        </w:rPr>
        <w:t>Kindergarten 2009-2010</w:t>
      </w:r>
    </w:p>
    <w:p w:rsidR="00C15A59" w:rsidRPr="001B7E01" w:rsidRDefault="00C15A59" w:rsidP="00C15A59">
      <w:pPr>
        <w:pStyle w:val="NoSpacing"/>
        <w:jc w:val="center"/>
        <w:rPr>
          <w:sz w:val="24"/>
          <w:szCs w:val="24"/>
        </w:rPr>
      </w:pPr>
      <w:r w:rsidRPr="001B7E01">
        <w:rPr>
          <w:sz w:val="24"/>
          <w:szCs w:val="24"/>
        </w:rPr>
        <w:t>Attended Preschool 2008-2009</w:t>
      </w:r>
    </w:p>
    <w:p w:rsidR="00C15A59" w:rsidRPr="00CC4D38" w:rsidRDefault="00C15A59" w:rsidP="00C15A59">
      <w:pPr>
        <w:pStyle w:val="NoSpacing"/>
        <w:rPr>
          <w:rFonts w:ascii="Arial Rounded MT Bold" w:hAnsi="Arial Rounded MT Bold"/>
          <w:color w:val="7030A0"/>
          <w:sz w:val="28"/>
          <w:szCs w:val="28"/>
        </w:rPr>
      </w:pPr>
      <w:r w:rsidRPr="00CC4D38">
        <w:rPr>
          <w:rFonts w:ascii="Arial Rounded MT Bold" w:hAnsi="Arial Rounded MT Bold"/>
          <w:color w:val="7030A0"/>
          <w:sz w:val="28"/>
          <w:szCs w:val="28"/>
        </w:rPr>
        <w:t>Math levels</w:t>
      </w:r>
    </w:p>
    <w:tbl>
      <w:tblPr>
        <w:tblStyle w:val="LightGrid-Accent4"/>
        <w:tblW w:w="0" w:type="auto"/>
        <w:tblLook w:val="04A0"/>
      </w:tblPr>
      <w:tblGrid>
        <w:gridCol w:w="1286"/>
        <w:gridCol w:w="1208"/>
        <w:gridCol w:w="1003"/>
        <w:gridCol w:w="1194"/>
        <w:gridCol w:w="1003"/>
        <w:gridCol w:w="1211"/>
        <w:gridCol w:w="1003"/>
        <w:gridCol w:w="1149"/>
        <w:gridCol w:w="1014"/>
      </w:tblGrid>
      <w:tr w:rsidR="00C15A59" w:rsidTr="00C15A59">
        <w:trPr>
          <w:cnfStyle w:val="100000000000"/>
        </w:trPr>
        <w:tc>
          <w:tcPr>
            <w:cnfStyle w:val="001000000000"/>
            <w:tcW w:w="1238" w:type="dxa"/>
          </w:tcPr>
          <w:p w:rsidR="00C15A59" w:rsidRDefault="00C15A59" w:rsidP="00C15A59">
            <w:r>
              <w:t>School</w:t>
            </w:r>
          </w:p>
        </w:tc>
        <w:tc>
          <w:tcPr>
            <w:tcW w:w="1208" w:type="dxa"/>
          </w:tcPr>
          <w:p w:rsidR="00C15A59" w:rsidRDefault="00C15A59" w:rsidP="00C15A59">
            <w:pPr>
              <w:cnfStyle w:val="100000000000"/>
            </w:pPr>
            <w:r>
              <w:t>Below Grade Level</w:t>
            </w:r>
          </w:p>
        </w:tc>
        <w:tc>
          <w:tcPr>
            <w:tcW w:w="789" w:type="dxa"/>
          </w:tcPr>
          <w:p w:rsidR="00C15A59" w:rsidRDefault="00C15A59" w:rsidP="00C15A59">
            <w:pPr>
              <w:cnfStyle w:val="100000000000"/>
            </w:pPr>
            <w:r>
              <w:t>Percent</w:t>
            </w:r>
          </w:p>
        </w:tc>
        <w:tc>
          <w:tcPr>
            <w:tcW w:w="1194" w:type="dxa"/>
          </w:tcPr>
          <w:p w:rsidR="00C15A59" w:rsidRDefault="00C15A59" w:rsidP="00C15A59">
            <w:pPr>
              <w:cnfStyle w:val="100000000000"/>
            </w:pPr>
            <w:r>
              <w:t>At Grade Level</w:t>
            </w:r>
          </w:p>
        </w:tc>
        <w:tc>
          <w:tcPr>
            <w:tcW w:w="869" w:type="dxa"/>
          </w:tcPr>
          <w:p w:rsidR="00C15A59" w:rsidRDefault="00C15A59" w:rsidP="00C15A59">
            <w:pPr>
              <w:cnfStyle w:val="100000000000"/>
            </w:pPr>
            <w:r>
              <w:t>Percent</w:t>
            </w:r>
          </w:p>
        </w:tc>
        <w:tc>
          <w:tcPr>
            <w:tcW w:w="1211" w:type="dxa"/>
          </w:tcPr>
          <w:p w:rsidR="00C15A59" w:rsidRDefault="00C15A59" w:rsidP="00C15A59">
            <w:pPr>
              <w:cnfStyle w:val="100000000000"/>
            </w:pPr>
            <w:r>
              <w:t>Above Grade Level</w:t>
            </w:r>
          </w:p>
        </w:tc>
        <w:tc>
          <w:tcPr>
            <w:tcW w:w="904" w:type="dxa"/>
          </w:tcPr>
          <w:p w:rsidR="00C15A59" w:rsidRDefault="00C15A59" w:rsidP="00C15A59">
            <w:pPr>
              <w:cnfStyle w:val="100000000000"/>
            </w:pPr>
            <w:r>
              <w:t>Percent</w:t>
            </w:r>
          </w:p>
        </w:tc>
        <w:tc>
          <w:tcPr>
            <w:tcW w:w="1149" w:type="dxa"/>
          </w:tcPr>
          <w:p w:rsidR="00C15A59" w:rsidRDefault="00C15A59" w:rsidP="00C15A59">
            <w:pPr>
              <w:cnfStyle w:val="100000000000"/>
            </w:pPr>
            <w:r>
              <w:t>Gifted Range</w:t>
            </w:r>
          </w:p>
        </w:tc>
        <w:tc>
          <w:tcPr>
            <w:tcW w:w="1014" w:type="dxa"/>
          </w:tcPr>
          <w:p w:rsidR="00C15A59" w:rsidRDefault="00C15A59" w:rsidP="00C15A59">
            <w:pPr>
              <w:cnfStyle w:val="100000000000"/>
            </w:pPr>
            <w:r>
              <w:t>Percent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238" w:type="dxa"/>
          </w:tcPr>
          <w:p w:rsidR="00C15A59" w:rsidRDefault="00C15A59" w:rsidP="00C15A59">
            <w:r>
              <w:t>AB Chandler</w:t>
            </w:r>
          </w:p>
        </w:tc>
        <w:tc>
          <w:tcPr>
            <w:tcW w:w="1208" w:type="dxa"/>
          </w:tcPr>
          <w:p w:rsidR="00C15A59" w:rsidRDefault="00C15A59" w:rsidP="00C15A59">
            <w:pPr>
              <w:cnfStyle w:val="000000100000"/>
            </w:pPr>
            <w:r>
              <w:t>3</w:t>
            </w:r>
          </w:p>
        </w:tc>
        <w:tc>
          <w:tcPr>
            <w:tcW w:w="789" w:type="dxa"/>
          </w:tcPr>
          <w:p w:rsidR="00C15A59" w:rsidRDefault="00C15A59" w:rsidP="00C15A59">
            <w:pPr>
              <w:cnfStyle w:val="000000100000"/>
            </w:pPr>
            <w:r>
              <w:t>13%</w:t>
            </w:r>
          </w:p>
        </w:tc>
        <w:tc>
          <w:tcPr>
            <w:tcW w:w="1194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  <w:tc>
          <w:tcPr>
            <w:tcW w:w="869" w:type="dxa"/>
          </w:tcPr>
          <w:p w:rsidR="00C15A59" w:rsidRDefault="00C15A59" w:rsidP="00C15A59">
            <w:pPr>
              <w:cnfStyle w:val="000000100000"/>
            </w:pPr>
            <w:r>
              <w:t>0%</w:t>
            </w:r>
          </w:p>
        </w:tc>
        <w:tc>
          <w:tcPr>
            <w:tcW w:w="1211" w:type="dxa"/>
          </w:tcPr>
          <w:p w:rsidR="00C15A59" w:rsidRDefault="00C15A59" w:rsidP="00C15A59">
            <w:pPr>
              <w:cnfStyle w:val="000000100000"/>
            </w:pPr>
            <w:r>
              <w:t>13</w:t>
            </w:r>
          </w:p>
        </w:tc>
        <w:tc>
          <w:tcPr>
            <w:tcW w:w="904" w:type="dxa"/>
          </w:tcPr>
          <w:p w:rsidR="00C15A59" w:rsidRDefault="00C15A59" w:rsidP="00C15A59">
            <w:pPr>
              <w:cnfStyle w:val="000000100000"/>
            </w:pPr>
            <w:r>
              <w:t>56%</w:t>
            </w:r>
          </w:p>
        </w:tc>
        <w:tc>
          <w:tcPr>
            <w:tcW w:w="1149" w:type="dxa"/>
          </w:tcPr>
          <w:p w:rsidR="00C15A59" w:rsidRDefault="00C15A59" w:rsidP="00C15A59">
            <w:pPr>
              <w:cnfStyle w:val="000000100000"/>
            </w:pPr>
            <w:r>
              <w:t>7</w:t>
            </w:r>
          </w:p>
        </w:tc>
        <w:tc>
          <w:tcPr>
            <w:tcW w:w="1014" w:type="dxa"/>
          </w:tcPr>
          <w:p w:rsidR="00C15A59" w:rsidRDefault="00C15A59" w:rsidP="00C15A59">
            <w:pPr>
              <w:cnfStyle w:val="000000100000"/>
            </w:pPr>
            <w:r>
              <w:t>30%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238" w:type="dxa"/>
          </w:tcPr>
          <w:p w:rsidR="00C15A59" w:rsidRDefault="00C15A59" w:rsidP="00C15A59">
            <w:r>
              <w:t>Bend Gate</w:t>
            </w:r>
          </w:p>
        </w:tc>
        <w:tc>
          <w:tcPr>
            <w:tcW w:w="1208" w:type="dxa"/>
          </w:tcPr>
          <w:p w:rsidR="00C15A59" w:rsidRDefault="00C15A59" w:rsidP="00C15A59">
            <w:pPr>
              <w:cnfStyle w:val="000000010000"/>
            </w:pPr>
            <w:r>
              <w:t>11</w:t>
            </w:r>
          </w:p>
        </w:tc>
        <w:tc>
          <w:tcPr>
            <w:tcW w:w="789" w:type="dxa"/>
          </w:tcPr>
          <w:p w:rsidR="00C15A59" w:rsidRDefault="00C15A59" w:rsidP="00C15A59">
            <w:pPr>
              <w:cnfStyle w:val="000000010000"/>
            </w:pPr>
            <w:r>
              <w:t>31%</w:t>
            </w:r>
          </w:p>
        </w:tc>
        <w:tc>
          <w:tcPr>
            <w:tcW w:w="1194" w:type="dxa"/>
          </w:tcPr>
          <w:p w:rsidR="00C15A59" w:rsidRDefault="00C15A59" w:rsidP="00C15A59">
            <w:pPr>
              <w:cnfStyle w:val="000000010000"/>
            </w:pPr>
            <w:r>
              <w:t>0</w:t>
            </w:r>
          </w:p>
        </w:tc>
        <w:tc>
          <w:tcPr>
            <w:tcW w:w="869" w:type="dxa"/>
          </w:tcPr>
          <w:p w:rsidR="00C15A59" w:rsidRDefault="00C15A59" w:rsidP="00C15A59">
            <w:pPr>
              <w:cnfStyle w:val="000000010000"/>
            </w:pPr>
            <w:r>
              <w:t>0%</w:t>
            </w:r>
          </w:p>
        </w:tc>
        <w:tc>
          <w:tcPr>
            <w:tcW w:w="1211" w:type="dxa"/>
          </w:tcPr>
          <w:p w:rsidR="00C15A59" w:rsidRDefault="00C15A59" w:rsidP="00C15A59">
            <w:pPr>
              <w:cnfStyle w:val="000000010000"/>
            </w:pPr>
            <w:r>
              <w:t>18</w:t>
            </w:r>
          </w:p>
        </w:tc>
        <w:tc>
          <w:tcPr>
            <w:tcW w:w="904" w:type="dxa"/>
          </w:tcPr>
          <w:p w:rsidR="00C15A59" w:rsidRDefault="00C15A59" w:rsidP="00C15A59">
            <w:pPr>
              <w:cnfStyle w:val="000000010000"/>
            </w:pPr>
            <w:r>
              <w:t>50%</w:t>
            </w:r>
          </w:p>
        </w:tc>
        <w:tc>
          <w:tcPr>
            <w:tcW w:w="1149" w:type="dxa"/>
          </w:tcPr>
          <w:p w:rsidR="00C15A59" w:rsidRDefault="00C15A59" w:rsidP="00C15A59">
            <w:pPr>
              <w:cnfStyle w:val="000000010000"/>
            </w:pPr>
            <w:r>
              <w:t>8</w:t>
            </w:r>
          </w:p>
        </w:tc>
        <w:tc>
          <w:tcPr>
            <w:tcW w:w="1014" w:type="dxa"/>
          </w:tcPr>
          <w:p w:rsidR="00C15A59" w:rsidRDefault="00C15A59" w:rsidP="00C15A59">
            <w:pPr>
              <w:cnfStyle w:val="000000010000"/>
            </w:pPr>
            <w:r>
              <w:t>22%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238" w:type="dxa"/>
          </w:tcPr>
          <w:p w:rsidR="00C15A59" w:rsidRDefault="00C15A59" w:rsidP="00C15A59">
            <w:r>
              <w:t>East Heights</w:t>
            </w:r>
          </w:p>
        </w:tc>
        <w:tc>
          <w:tcPr>
            <w:tcW w:w="1208" w:type="dxa"/>
          </w:tcPr>
          <w:p w:rsidR="00C15A59" w:rsidRDefault="00C15A59" w:rsidP="00C15A59">
            <w:pPr>
              <w:cnfStyle w:val="000000100000"/>
            </w:pPr>
            <w:r>
              <w:t>9</w:t>
            </w:r>
          </w:p>
        </w:tc>
        <w:tc>
          <w:tcPr>
            <w:tcW w:w="789" w:type="dxa"/>
          </w:tcPr>
          <w:p w:rsidR="00C15A59" w:rsidRDefault="00C15A59" w:rsidP="00C15A59">
            <w:pPr>
              <w:cnfStyle w:val="000000100000"/>
            </w:pPr>
            <w:r>
              <w:t>24%</w:t>
            </w:r>
          </w:p>
        </w:tc>
        <w:tc>
          <w:tcPr>
            <w:tcW w:w="1194" w:type="dxa"/>
          </w:tcPr>
          <w:p w:rsidR="00C15A59" w:rsidRDefault="00C15A59" w:rsidP="00C15A59">
            <w:pPr>
              <w:cnfStyle w:val="000000100000"/>
            </w:pPr>
            <w:r>
              <w:t>1</w:t>
            </w:r>
          </w:p>
        </w:tc>
        <w:tc>
          <w:tcPr>
            <w:tcW w:w="869" w:type="dxa"/>
          </w:tcPr>
          <w:p w:rsidR="00C15A59" w:rsidRDefault="00C15A59" w:rsidP="00C15A59">
            <w:pPr>
              <w:cnfStyle w:val="000000100000"/>
            </w:pPr>
            <w:r>
              <w:t>3%</w:t>
            </w:r>
          </w:p>
        </w:tc>
        <w:tc>
          <w:tcPr>
            <w:tcW w:w="1211" w:type="dxa"/>
          </w:tcPr>
          <w:p w:rsidR="00C15A59" w:rsidRDefault="00C15A59" w:rsidP="00C15A59">
            <w:pPr>
              <w:cnfStyle w:val="000000100000"/>
            </w:pPr>
            <w:r>
              <w:t>19</w:t>
            </w:r>
          </w:p>
        </w:tc>
        <w:tc>
          <w:tcPr>
            <w:tcW w:w="904" w:type="dxa"/>
          </w:tcPr>
          <w:p w:rsidR="00C15A59" w:rsidRDefault="00C15A59" w:rsidP="00C15A59">
            <w:pPr>
              <w:cnfStyle w:val="000000100000"/>
            </w:pPr>
            <w:r>
              <w:t>50%</w:t>
            </w:r>
          </w:p>
        </w:tc>
        <w:tc>
          <w:tcPr>
            <w:tcW w:w="1149" w:type="dxa"/>
          </w:tcPr>
          <w:p w:rsidR="00C15A59" w:rsidRDefault="00C15A59" w:rsidP="00C15A59">
            <w:pPr>
              <w:cnfStyle w:val="000000100000"/>
            </w:pPr>
            <w:r>
              <w:t>9</w:t>
            </w:r>
          </w:p>
        </w:tc>
        <w:tc>
          <w:tcPr>
            <w:tcW w:w="1014" w:type="dxa"/>
          </w:tcPr>
          <w:p w:rsidR="00C15A59" w:rsidRDefault="00C15A59" w:rsidP="00C15A59">
            <w:pPr>
              <w:cnfStyle w:val="000000100000"/>
            </w:pPr>
            <w:r>
              <w:t>24%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238" w:type="dxa"/>
          </w:tcPr>
          <w:p w:rsidR="00C15A59" w:rsidRDefault="00C15A59" w:rsidP="00C15A59">
            <w:r>
              <w:t>Jefferson I</w:t>
            </w:r>
          </w:p>
        </w:tc>
        <w:tc>
          <w:tcPr>
            <w:tcW w:w="1208" w:type="dxa"/>
          </w:tcPr>
          <w:p w:rsidR="00C15A59" w:rsidRDefault="00C15A59" w:rsidP="00C15A59">
            <w:pPr>
              <w:cnfStyle w:val="000000010000"/>
            </w:pPr>
            <w:r>
              <w:t>4</w:t>
            </w:r>
          </w:p>
        </w:tc>
        <w:tc>
          <w:tcPr>
            <w:tcW w:w="789" w:type="dxa"/>
          </w:tcPr>
          <w:p w:rsidR="00C15A59" w:rsidRDefault="00C15A59" w:rsidP="00C15A59">
            <w:pPr>
              <w:cnfStyle w:val="000000010000"/>
            </w:pPr>
            <w:r>
              <w:t>27%</w:t>
            </w:r>
          </w:p>
        </w:tc>
        <w:tc>
          <w:tcPr>
            <w:tcW w:w="1194" w:type="dxa"/>
          </w:tcPr>
          <w:p w:rsidR="00C15A59" w:rsidRDefault="00C15A59" w:rsidP="00C15A59">
            <w:pPr>
              <w:cnfStyle w:val="000000010000"/>
            </w:pPr>
            <w:r>
              <w:t>0</w:t>
            </w:r>
          </w:p>
        </w:tc>
        <w:tc>
          <w:tcPr>
            <w:tcW w:w="869" w:type="dxa"/>
          </w:tcPr>
          <w:p w:rsidR="00C15A59" w:rsidRDefault="00C15A59" w:rsidP="00C15A59">
            <w:pPr>
              <w:cnfStyle w:val="000000010000"/>
            </w:pPr>
            <w:r>
              <w:t>0%</w:t>
            </w:r>
          </w:p>
        </w:tc>
        <w:tc>
          <w:tcPr>
            <w:tcW w:w="1211" w:type="dxa"/>
          </w:tcPr>
          <w:p w:rsidR="00C15A59" w:rsidRDefault="00C15A59" w:rsidP="00C15A59">
            <w:pPr>
              <w:cnfStyle w:val="000000010000"/>
            </w:pPr>
            <w:r>
              <w:t>7</w:t>
            </w:r>
          </w:p>
        </w:tc>
        <w:tc>
          <w:tcPr>
            <w:tcW w:w="904" w:type="dxa"/>
          </w:tcPr>
          <w:p w:rsidR="00C15A59" w:rsidRDefault="00C15A59" w:rsidP="00C15A59">
            <w:pPr>
              <w:cnfStyle w:val="000000010000"/>
            </w:pPr>
            <w:r>
              <w:t>47%</w:t>
            </w:r>
          </w:p>
        </w:tc>
        <w:tc>
          <w:tcPr>
            <w:tcW w:w="1149" w:type="dxa"/>
          </w:tcPr>
          <w:p w:rsidR="00C15A59" w:rsidRDefault="00C15A59" w:rsidP="00C15A59">
            <w:pPr>
              <w:cnfStyle w:val="000000010000"/>
            </w:pPr>
            <w:r>
              <w:t>4</w:t>
            </w:r>
          </w:p>
        </w:tc>
        <w:tc>
          <w:tcPr>
            <w:tcW w:w="1014" w:type="dxa"/>
          </w:tcPr>
          <w:p w:rsidR="00C15A59" w:rsidRDefault="00C15A59" w:rsidP="00C15A59">
            <w:pPr>
              <w:cnfStyle w:val="000000010000"/>
            </w:pPr>
            <w:r>
              <w:t>27%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238" w:type="dxa"/>
          </w:tcPr>
          <w:p w:rsidR="00C15A59" w:rsidRDefault="00C15A59" w:rsidP="00C15A59">
            <w:r>
              <w:t>Jefferson II</w:t>
            </w:r>
          </w:p>
        </w:tc>
        <w:tc>
          <w:tcPr>
            <w:tcW w:w="1208" w:type="dxa"/>
          </w:tcPr>
          <w:p w:rsidR="00C15A59" w:rsidRDefault="00C15A59" w:rsidP="00C15A59">
            <w:pPr>
              <w:cnfStyle w:val="000000100000"/>
            </w:pPr>
            <w:r>
              <w:t>10</w:t>
            </w:r>
          </w:p>
        </w:tc>
        <w:tc>
          <w:tcPr>
            <w:tcW w:w="789" w:type="dxa"/>
          </w:tcPr>
          <w:p w:rsidR="00C15A59" w:rsidRDefault="00C15A59" w:rsidP="00C15A59">
            <w:pPr>
              <w:cnfStyle w:val="000000100000"/>
            </w:pPr>
            <w:r>
              <w:t>28%</w:t>
            </w:r>
          </w:p>
        </w:tc>
        <w:tc>
          <w:tcPr>
            <w:tcW w:w="1194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  <w:tc>
          <w:tcPr>
            <w:tcW w:w="869" w:type="dxa"/>
          </w:tcPr>
          <w:p w:rsidR="00C15A59" w:rsidRDefault="00C15A59" w:rsidP="00C15A59">
            <w:pPr>
              <w:cnfStyle w:val="000000100000"/>
            </w:pPr>
            <w:r>
              <w:t>0%</w:t>
            </w:r>
          </w:p>
        </w:tc>
        <w:tc>
          <w:tcPr>
            <w:tcW w:w="1211" w:type="dxa"/>
          </w:tcPr>
          <w:p w:rsidR="00C15A59" w:rsidRDefault="00C15A59" w:rsidP="00C15A59">
            <w:pPr>
              <w:cnfStyle w:val="000000100000"/>
            </w:pPr>
            <w:r>
              <w:t>18</w:t>
            </w:r>
          </w:p>
        </w:tc>
        <w:tc>
          <w:tcPr>
            <w:tcW w:w="904" w:type="dxa"/>
          </w:tcPr>
          <w:p w:rsidR="00C15A59" w:rsidRDefault="00C15A59" w:rsidP="00C15A59">
            <w:pPr>
              <w:cnfStyle w:val="000000100000"/>
            </w:pPr>
            <w:r>
              <w:t>50%</w:t>
            </w:r>
          </w:p>
        </w:tc>
        <w:tc>
          <w:tcPr>
            <w:tcW w:w="1149" w:type="dxa"/>
          </w:tcPr>
          <w:p w:rsidR="00C15A59" w:rsidRDefault="00C15A59" w:rsidP="00C15A59">
            <w:pPr>
              <w:cnfStyle w:val="000000100000"/>
            </w:pPr>
            <w:r>
              <w:t>7</w:t>
            </w:r>
          </w:p>
        </w:tc>
        <w:tc>
          <w:tcPr>
            <w:tcW w:w="1014" w:type="dxa"/>
          </w:tcPr>
          <w:p w:rsidR="00C15A59" w:rsidRDefault="00C15A59" w:rsidP="00C15A59">
            <w:pPr>
              <w:cnfStyle w:val="000000100000"/>
            </w:pPr>
            <w:r>
              <w:t>20%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238" w:type="dxa"/>
          </w:tcPr>
          <w:p w:rsidR="00C15A59" w:rsidRDefault="00C15A59" w:rsidP="00C15A59">
            <w:r>
              <w:t>Niagara</w:t>
            </w:r>
          </w:p>
        </w:tc>
        <w:tc>
          <w:tcPr>
            <w:tcW w:w="1208" w:type="dxa"/>
          </w:tcPr>
          <w:p w:rsidR="00C15A59" w:rsidRDefault="00C15A59" w:rsidP="00C15A59">
            <w:pPr>
              <w:cnfStyle w:val="000000010000"/>
            </w:pPr>
            <w:r>
              <w:t>3</w:t>
            </w:r>
          </w:p>
        </w:tc>
        <w:tc>
          <w:tcPr>
            <w:tcW w:w="789" w:type="dxa"/>
          </w:tcPr>
          <w:p w:rsidR="00C15A59" w:rsidRDefault="00C15A59" w:rsidP="00C15A59">
            <w:pPr>
              <w:cnfStyle w:val="000000010000"/>
            </w:pPr>
            <w:r>
              <w:t>10%</w:t>
            </w:r>
          </w:p>
        </w:tc>
        <w:tc>
          <w:tcPr>
            <w:tcW w:w="1194" w:type="dxa"/>
          </w:tcPr>
          <w:p w:rsidR="00C15A59" w:rsidRDefault="00C15A59" w:rsidP="00C15A59">
            <w:pPr>
              <w:cnfStyle w:val="000000010000"/>
            </w:pPr>
            <w:r>
              <w:t>0</w:t>
            </w:r>
          </w:p>
        </w:tc>
        <w:tc>
          <w:tcPr>
            <w:tcW w:w="869" w:type="dxa"/>
          </w:tcPr>
          <w:p w:rsidR="00C15A59" w:rsidRDefault="00C15A59" w:rsidP="00C15A59">
            <w:pPr>
              <w:cnfStyle w:val="000000010000"/>
            </w:pPr>
            <w:r>
              <w:t>0%</w:t>
            </w:r>
          </w:p>
        </w:tc>
        <w:tc>
          <w:tcPr>
            <w:tcW w:w="1211" w:type="dxa"/>
          </w:tcPr>
          <w:p w:rsidR="00C15A59" w:rsidRDefault="00C15A59" w:rsidP="00C15A59">
            <w:pPr>
              <w:cnfStyle w:val="000000010000"/>
            </w:pPr>
            <w:r>
              <w:t>15</w:t>
            </w:r>
          </w:p>
        </w:tc>
        <w:tc>
          <w:tcPr>
            <w:tcW w:w="904" w:type="dxa"/>
          </w:tcPr>
          <w:p w:rsidR="00C15A59" w:rsidRDefault="00C15A59" w:rsidP="00C15A59">
            <w:pPr>
              <w:cnfStyle w:val="000000010000"/>
            </w:pPr>
            <w:r>
              <w:t>48%</w:t>
            </w:r>
          </w:p>
        </w:tc>
        <w:tc>
          <w:tcPr>
            <w:tcW w:w="1149" w:type="dxa"/>
          </w:tcPr>
          <w:p w:rsidR="00C15A59" w:rsidRDefault="00C15A59" w:rsidP="00C15A59">
            <w:pPr>
              <w:cnfStyle w:val="000000010000"/>
            </w:pPr>
            <w:r>
              <w:t>13</w:t>
            </w:r>
          </w:p>
        </w:tc>
        <w:tc>
          <w:tcPr>
            <w:tcW w:w="1014" w:type="dxa"/>
          </w:tcPr>
          <w:p w:rsidR="00C15A59" w:rsidRDefault="00C15A59" w:rsidP="00C15A59">
            <w:pPr>
              <w:cnfStyle w:val="000000010000"/>
            </w:pPr>
            <w:r>
              <w:t>42%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238" w:type="dxa"/>
          </w:tcPr>
          <w:p w:rsidR="00C15A59" w:rsidRDefault="00C15A59" w:rsidP="00C15A59">
            <w:r>
              <w:t>South Heights</w:t>
            </w:r>
          </w:p>
        </w:tc>
        <w:tc>
          <w:tcPr>
            <w:tcW w:w="1208" w:type="dxa"/>
          </w:tcPr>
          <w:p w:rsidR="00C15A59" w:rsidRDefault="00C15A59" w:rsidP="00C15A59">
            <w:pPr>
              <w:cnfStyle w:val="000000100000"/>
            </w:pPr>
            <w:r>
              <w:t>4</w:t>
            </w:r>
          </w:p>
        </w:tc>
        <w:tc>
          <w:tcPr>
            <w:tcW w:w="789" w:type="dxa"/>
          </w:tcPr>
          <w:p w:rsidR="00C15A59" w:rsidRDefault="00C15A59" w:rsidP="00C15A59">
            <w:pPr>
              <w:cnfStyle w:val="000000100000"/>
            </w:pPr>
            <w:r>
              <w:t>20%</w:t>
            </w:r>
          </w:p>
        </w:tc>
        <w:tc>
          <w:tcPr>
            <w:tcW w:w="1194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  <w:tc>
          <w:tcPr>
            <w:tcW w:w="869" w:type="dxa"/>
          </w:tcPr>
          <w:p w:rsidR="00C15A59" w:rsidRDefault="00C15A59" w:rsidP="00C15A59">
            <w:pPr>
              <w:cnfStyle w:val="000000100000"/>
            </w:pPr>
            <w:r>
              <w:t>0%</w:t>
            </w:r>
          </w:p>
        </w:tc>
        <w:tc>
          <w:tcPr>
            <w:tcW w:w="1211" w:type="dxa"/>
          </w:tcPr>
          <w:p w:rsidR="00C15A59" w:rsidRDefault="00C15A59" w:rsidP="00C15A59">
            <w:pPr>
              <w:cnfStyle w:val="000000100000"/>
            </w:pPr>
            <w:r>
              <w:t>9</w:t>
            </w:r>
          </w:p>
        </w:tc>
        <w:tc>
          <w:tcPr>
            <w:tcW w:w="904" w:type="dxa"/>
          </w:tcPr>
          <w:p w:rsidR="00C15A59" w:rsidRDefault="00C15A59" w:rsidP="00C15A59">
            <w:pPr>
              <w:cnfStyle w:val="000000100000"/>
            </w:pPr>
            <w:r>
              <w:t>45%</w:t>
            </w:r>
          </w:p>
        </w:tc>
        <w:tc>
          <w:tcPr>
            <w:tcW w:w="1149" w:type="dxa"/>
          </w:tcPr>
          <w:p w:rsidR="00C15A59" w:rsidRDefault="00C15A59" w:rsidP="00C15A59">
            <w:pPr>
              <w:cnfStyle w:val="000000100000"/>
            </w:pPr>
            <w:r>
              <w:t>7</w:t>
            </w:r>
          </w:p>
        </w:tc>
        <w:tc>
          <w:tcPr>
            <w:tcW w:w="1014" w:type="dxa"/>
          </w:tcPr>
          <w:p w:rsidR="00C15A59" w:rsidRDefault="00C15A59" w:rsidP="00C15A59">
            <w:pPr>
              <w:cnfStyle w:val="000000100000"/>
            </w:pPr>
            <w:r>
              <w:t>35%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238" w:type="dxa"/>
          </w:tcPr>
          <w:p w:rsidR="00C15A59" w:rsidRDefault="00C15A59" w:rsidP="00C15A59">
            <w:proofErr w:type="spellStart"/>
            <w:r>
              <w:t>Spottsville</w:t>
            </w:r>
            <w:proofErr w:type="spellEnd"/>
          </w:p>
        </w:tc>
        <w:tc>
          <w:tcPr>
            <w:tcW w:w="1208" w:type="dxa"/>
          </w:tcPr>
          <w:p w:rsidR="00C15A59" w:rsidRDefault="00C15A59" w:rsidP="00C15A59">
            <w:pPr>
              <w:cnfStyle w:val="000000010000"/>
            </w:pPr>
            <w:r>
              <w:t>5</w:t>
            </w:r>
          </w:p>
        </w:tc>
        <w:tc>
          <w:tcPr>
            <w:tcW w:w="789" w:type="dxa"/>
          </w:tcPr>
          <w:p w:rsidR="00C15A59" w:rsidRDefault="00C15A59" w:rsidP="00C15A59">
            <w:pPr>
              <w:cnfStyle w:val="000000010000"/>
            </w:pPr>
            <w:r>
              <w:t>13%</w:t>
            </w:r>
          </w:p>
        </w:tc>
        <w:tc>
          <w:tcPr>
            <w:tcW w:w="1194" w:type="dxa"/>
          </w:tcPr>
          <w:p w:rsidR="00C15A59" w:rsidRDefault="00C15A59" w:rsidP="00C15A59">
            <w:pPr>
              <w:cnfStyle w:val="000000010000"/>
            </w:pPr>
            <w:r>
              <w:t>0</w:t>
            </w:r>
          </w:p>
        </w:tc>
        <w:tc>
          <w:tcPr>
            <w:tcW w:w="869" w:type="dxa"/>
          </w:tcPr>
          <w:p w:rsidR="00C15A59" w:rsidRDefault="00C15A59" w:rsidP="00C15A59">
            <w:pPr>
              <w:cnfStyle w:val="000000010000"/>
            </w:pPr>
            <w:r>
              <w:t>0%</w:t>
            </w:r>
          </w:p>
        </w:tc>
        <w:tc>
          <w:tcPr>
            <w:tcW w:w="1211" w:type="dxa"/>
          </w:tcPr>
          <w:p w:rsidR="00C15A59" w:rsidRDefault="00C15A59" w:rsidP="00C15A59">
            <w:pPr>
              <w:cnfStyle w:val="000000010000"/>
            </w:pPr>
            <w:r>
              <w:t>17</w:t>
            </w:r>
          </w:p>
        </w:tc>
        <w:tc>
          <w:tcPr>
            <w:tcW w:w="904" w:type="dxa"/>
          </w:tcPr>
          <w:p w:rsidR="00C15A59" w:rsidRDefault="00C15A59" w:rsidP="00C15A59">
            <w:pPr>
              <w:cnfStyle w:val="000000010000"/>
            </w:pPr>
            <w:r>
              <w:t>46%</w:t>
            </w:r>
          </w:p>
        </w:tc>
        <w:tc>
          <w:tcPr>
            <w:tcW w:w="1149" w:type="dxa"/>
          </w:tcPr>
          <w:p w:rsidR="00C15A59" w:rsidRDefault="00C15A59" w:rsidP="00C15A59">
            <w:pPr>
              <w:cnfStyle w:val="000000010000"/>
            </w:pPr>
            <w:r>
              <w:t>15</w:t>
            </w:r>
          </w:p>
        </w:tc>
        <w:tc>
          <w:tcPr>
            <w:tcW w:w="1014" w:type="dxa"/>
          </w:tcPr>
          <w:p w:rsidR="00C15A59" w:rsidRDefault="00C15A59" w:rsidP="00C15A59">
            <w:pPr>
              <w:cnfStyle w:val="000000010000"/>
            </w:pPr>
            <w:r>
              <w:t>41%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238" w:type="dxa"/>
          </w:tcPr>
          <w:p w:rsidR="00C15A59" w:rsidRDefault="00C15A59" w:rsidP="00C15A59">
            <w:r>
              <w:t>District</w:t>
            </w:r>
          </w:p>
        </w:tc>
        <w:tc>
          <w:tcPr>
            <w:tcW w:w="1208" w:type="dxa"/>
          </w:tcPr>
          <w:p w:rsidR="00C15A59" w:rsidRDefault="00C15A59" w:rsidP="00C15A59">
            <w:pPr>
              <w:cnfStyle w:val="000000100000"/>
            </w:pPr>
            <w:r>
              <w:t>49</w:t>
            </w:r>
          </w:p>
        </w:tc>
        <w:tc>
          <w:tcPr>
            <w:tcW w:w="789" w:type="dxa"/>
          </w:tcPr>
          <w:p w:rsidR="00C15A59" w:rsidRDefault="00C15A59" w:rsidP="00C15A59">
            <w:pPr>
              <w:cnfStyle w:val="000000100000"/>
            </w:pPr>
            <w:r>
              <w:t>21%</w:t>
            </w:r>
          </w:p>
        </w:tc>
        <w:tc>
          <w:tcPr>
            <w:tcW w:w="1194" w:type="dxa"/>
          </w:tcPr>
          <w:p w:rsidR="00C15A59" w:rsidRDefault="00C15A59" w:rsidP="00C15A59">
            <w:pPr>
              <w:cnfStyle w:val="000000100000"/>
            </w:pPr>
            <w:r>
              <w:t>1</w:t>
            </w:r>
          </w:p>
        </w:tc>
        <w:tc>
          <w:tcPr>
            <w:tcW w:w="869" w:type="dxa"/>
          </w:tcPr>
          <w:p w:rsidR="00C15A59" w:rsidRDefault="00C15A59" w:rsidP="00C15A59">
            <w:pPr>
              <w:cnfStyle w:val="000000100000"/>
            </w:pPr>
            <w:r>
              <w:t>.4%</w:t>
            </w:r>
          </w:p>
        </w:tc>
        <w:tc>
          <w:tcPr>
            <w:tcW w:w="1211" w:type="dxa"/>
          </w:tcPr>
          <w:p w:rsidR="00C15A59" w:rsidRDefault="00C15A59" w:rsidP="00C15A59">
            <w:pPr>
              <w:cnfStyle w:val="000000100000"/>
            </w:pPr>
            <w:r>
              <w:t>116</w:t>
            </w:r>
          </w:p>
        </w:tc>
        <w:tc>
          <w:tcPr>
            <w:tcW w:w="904" w:type="dxa"/>
          </w:tcPr>
          <w:p w:rsidR="00C15A59" w:rsidRDefault="00C15A59" w:rsidP="00C15A59">
            <w:pPr>
              <w:cnfStyle w:val="000000100000"/>
            </w:pPr>
            <w:r>
              <w:t>49%</w:t>
            </w:r>
          </w:p>
        </w:tc>
        <w:tc>
          <w:tcPr>
            <w:tcW w:w="1149" w:type="dxa"/>
          </w:tcPr>
          <w:p w:rsidR="00C15A59" w:rsidRDefault="00C15A59" w:rsidP="00C15A59">
            <w:pPr>
              <w:cnfStyle w:val="000000100000"/>
            </w:pPr>
            <w:r>
              <w:t>70</w:t>
            </w:r>
          </w:p>
        </w:tc>
        <w:tc>
          <w:tcPr>
            <w:tcW w:w="1014" w:type="dxa"/>
          </w:tcPr>
          <w:p w:rsidR="00C15A59" w:rsidRDefault="00C15A59" w:rsidP="00C15A59">
            <w:pPr>
              <w:cnfStyle w:val="000000100000"/>
            </w:pPr>
            <w:r>
              <w:t>30%</w:t>
            </w:r>
          </w:p>
        </w:tc>
      </w:tr>
    </w:tbl>
    <w:p w:rsidR="00C15A59" w:rsidRPr="00CC4D38" w:rsidRDefault="00C15A59" w:rsidP="00C15A59">
      <w:pPr>
        <w:rPr>
          <w:color w:val="92D050"/>
        </w:rPr>
      </w:pPr>
    </w:p>
    <w:p w:rsidR="00C15A59" w:rsidRPr="00CC4D38" w:rsidRDefault="00C15A59" w:rsidP="00C15A59">
      <w:pPr>
        <w:pStyle w:val="NoSpacing"/>
        <w:rPr>
          <w:color w:val="92D050"/>
          <w:sz w:val="28"/>
          <w:szCs w:val="28"/>
        </w:rPr>
      </w:pPr>
      <w:r w:rsidRPr="00CC4D38">
        <w:rPr>
          <w:color w:val="92D050"/>
          <w:sz w:val="28"/>
          <w:szCs w:val="28"/>
        </w:rPr>
        <w:t xml:space="preserve">Children with IEPs that attended preschool </w:t>
      </w:r>
      <w:r w:rsidRPr="00CC4D38">
        <w:rPr>
          <w:i/>
          <w:color w:val="92D050"/>
          <w:sz w:val="28"/>
          <w:szCs w:val="28"/>
        </w:rPr>
        <w:t>(57)</w:t>
      </w:r>
    </w:p>
    <w:tbl>
      <w:tblPr>
        <w:tblStyle w:val="LightGrid-Accent3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15A59" w:rsidTr="00C15A59">
        <w:trPr>
          <w:cnfStyle w:val="10000000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School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100000000000"/>
            </w:pPr>
            <w:r>
              <w:t>Below Grade Level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100000000000"/>
            </w:pPr>
            <w:r>
              <w:t>At Grade Level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100000000000"/>
            </w:pPr>
            <w:r>
              <w:t>Above Grade Level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100000000000"/>
            </w:pPr>
            <w:r>
              <w:t>Gifted Range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AB Chandler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3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100000"/>
            </w:pPr>
            <w:r>
              <w:t>2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Bend Gate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5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1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010000"/>
            </w:pPr>
            <w:r>
              <w:t>1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East Heights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4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6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100000"/>
            </w:pPr>
            <w:r>
              <w:t>1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Jefferson I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3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2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010000"/>
            </w:pPr>
            <w:r>
              <w:t>1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Jefferson II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4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4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Niagara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2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1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010000"/>
            </w:pPr>
            <w:r>
              <w:t>1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South Heights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2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>5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100000"/>
            </w:pPr>
            <w:r>
              <w:t>2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915" w:type="dxa"/>
          </w:tcPr>
          <w:p w:rsidR="00C15A59" w:rsidRDefault="00C15A59" w:rsidP="00C15A59">
            <w:proofErr w:type="spellStart"/>
            <w:r>
              <w:t>Spottsville</w:t>
            </w:r>
            <w:proofErr w:type="spellEnd"/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2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0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010000"/>
            </w:pPr>
            <w:r>
              <w:t>2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010000"/>
            </w:pPr>
            <w:r>
              <w:t>3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915" w:type="dxa"/>
          </w:tcPr>
          <w:p w:rsidR="00C15A59" w:rsidRDefault="00C15A59" w:rsidP="00C15A59">
            <w:r>
              <w:t>District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 xml:space="preserve">22 </w:t>
            </w:r>
            <w:r w:rsidRPr="00C66D63">
              <w:rPr>
                <w:i/>
              </w:rPr>
              <w:t>(39%)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 xml:space="preserve">0 </w:t>
            </w:r>
            <w:r w:rsidRPr="00C66D63">
              <w:rPr>
                <w:i/>
              </w:rPr>
              <w:t>(0%)</w:t>
            </w:r>
          </w:p>
        </w:tc>
        <w:tc>
          <w:tcPr>
            <w:tcW w:w="1915" w:type="dxa"/>
          </w:tcPr>
          <w:p w:rsidR="00C15A59" w:rsidRDefault="00C15A59" w:rsidP="00C15A59">
            <w:pPr>
              <w:cnfStyle w:val="000000100000"/>
            </w:pPr>
            <w:r>
              <w:t xml:space="preserve">24 </w:t>
            </w:r>
            <w:r w:rsidRPr="00C66D63">
              <w:rPr>
                <w:i/>
              </w:rPr>
              <w:t>(42%)</w:t>
            </w:r>
          </w:p>
        </w:tc>
        <w:tc>
          <w:tcPr>
            <w:tcW w:w="1916" w:type="dxa"/>
          </w:tcPr>
          <w:p w:rsidR="00C15A59" w:rsidRDefault="00C15A59" w:rsidP="00C15A59">
            <w:pPr>
              <w:cnfStyle w:val="000000100000"/>
            </w:pPr>
            <w:r>
              <w:t xml:space="preserve">11 </w:t>
            </w:r>
            <w:r w:rsidRPr="00C66D63">
              <w:rPr>
                <w:i/>
              </w:rPr>
              <w:t>(19%)</w:t>
            </w:r>
          </w:p>
        </w:tc>
      </w:tr>
    </w:tbl>
    <w:p w:rsidR="00C15A59" w:rsidRDefault="00C15A59" w:rsidP="00C15A59"/>
    <w:p w:rsidR="00C15A59" w:rsidRPr="00C66D63" w:rsidRDefault="00C15A59" w:rsidP="00C15A59">
      <w:pPr>
        <w:pStyle w:val="NoSpacing"/>
        <w:rPr>
          <w:color w:val="FFC000"/>
          <w:sz w:val="28"/>
          <w:szCs w:val="28"/>
        </w:rPr>
      </w:pPr>
      <w:r w:rsidRPr="00C66D63">
        <w:rPr>
          <w:color w:val="FFC000"/>
          <w:sz w:val="28"/>
          <w:szCs w:val="28"/>
        </w:rPr>
        <w:t xml:space="preserve">Students </w:t>
      </w:r>
      <w:r>
        <w:rPr>
          <w:color w:val="FFC000"/>
          <w:sz w:val="28"/>
          <w:szCs w:val="28"/>
        </w:rPr>
        <w:t>making</w:t>
      </w:r>
      <w:r w:rsidRPr="00C66D63">
        <w:rPr>
          <w:color w:val="FFC000"/>
          <w:sz w:val="28"/>
          <w:szCs w:val="28"/>
        </w:rPr>
        <w:t xml:space="preserve"> annual growth</w:t>
      </w:r>
    </w:p>
    <w:tbl>
      <w:tblPr>
        <w:tblStyle w:val="LightGrid-Accent6"/>
        <w:tblW w:w="0" w:type="auto"/>
        <w:tblLook w:val="04A0"/>
      </w:tblPr>
      <w:tblGrid>
        <w:gridCol w:w="1747"/>
        <w:gridCol w:w="2477"/>
        <w:gridCol w:w="1003"/>
      </w:tblGrid>
      <w:tr w:rsidR="00C15A59" w:rsidTr="00C15A59">
        <w:trPr>
          <w:cnfStyle w:val="10000000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School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100000000000"/>
            </w:pPr>
            <w:r>
              <w:t>Made Annual Growth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100000000000"/>
            </w:pPr>
            <w:r>
              <w:t>Percent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AB Chandler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000000100000"/>
            </w:pPr>
            <w:r>
              <w:t>23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100%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Bend Gate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000000010000"/>
            </w:pPr>
            <w:r>
              <w:t>34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94%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East Heights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000000100000"/>
            </w:pPr>
            <w:r>
              <w:t>36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95%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Jefferson I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000000010000"/>
            </w:pPr>
            <w:r>
              <w:t>15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100%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Jefferson II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000000100000"/>
            </w:pPr>
            <w:r>
              <w:t>33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97%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Niagara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000000010000"/>
            </w:pPr>
            <w:r>
              <w:t>31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100%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South Heights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000000100000"/>
            </w:pPr>
            <w:r>
              <w:t>20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100%</w:t>
            </w:r>
          </w:p>
        </w:tc>
      </w:tr>
      <w:tr w:rsidR="00C15A59" w:rsidTr="00C15A59">
        <w:trPr>
          <w:cnfStyle w:val="000000010000"/>
        </w:trPr>
        <w:tc>
          <w:tcPr>
            <w:cnfStyle w:val="001000000000"/>
            <w:tcW w:w="1747" w:type="dxa"/>
          </w:tcPr>
          <w:p w:rsidR="00C15A59" w:rsidRDefault="00C15A59" w:rsidP="00C15A59">
            <w:proofErr w:type="spellStart"/>
            <w:r>
              <w:t>Spottsville</w:t>
            </w:r>
            <w:proofErr w:type="spellEnd"/>
          </w:p>
        </w:tc>
        <w:tc>
          <w:tcPr>
            <w:tcW w:w="2477" w:type="dxa"/>
          </w:tcPr>
          <w:p w:rsidR="00C15A59" w:rsidRDefault="00C15A59" w:rsidP="00C15A59">
            <w:pPr>
              <w:cnfStyle w:val="000000010000"/>
            </w:pPr>
            <w:r>
              <w:t>37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010000"/>
            </w:pPr>
            <w:r>
              <w:t>100%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1747" w:type="dxa"/>
          </w:tcPr>
          <w:p w:rsidR="00C15A59" w:rsidRDefault="00C15A59" w:rsidP="00C15A59">
            <w:r>
              <w:t>District</w:t>
            </w:r>
          </w:p>
        </w:tc>
        <w:tc>
          <w:tcPr>
            <w:tcW w:w="2477" w:type="dxa"/>
          </w:tcPr>
          <w:p w:rsidR="00C15A59" w:rsidRDefault="00C15A59" w:rsidP="00C15A59">
            <w:pPr>
              <w:cnfStyle w:val="000000100000"/>
            </w:pPr>
            <w:r>
              <w:t>229</w:t>
            </w:r>
          </w:p>
        </w:tc>
        <w:tc>
          <w:tcPr>
            <w:tcW w:w="1003" w:type="dxa"/>
          </w:tcPr>
          <w:p w:rsidR="00C15A59" w:rsidRDefault="00C15A59" w:rsidP="00C15A59">
            <w:pPr>
              <w:cnfStyle w:val="000000100000"/>
            </w:pPr>
            <w:r>
              <w:t>97%</w:t>
            </w:r>
          </w:p>
        </w:tc>
      </w:tr>
    </w:tbl>
    <w:p w:rsidR="00C15A59" w:rsidRPr="00C66D63" w:rsidRDefault="00C15A59" w:rsidP="00C15A59">
      <w:pPr>
        <w:pStyle w:val="NoSpacing"/>
        <w:jc w:val="center"/>
        <w:rPr>
          <w:sz w:val="40"/>
          <w:szCs w:val="40"/>
        </w:rPr>
      </w:pPr>
      <w:r w:rsidRPr="00C66D63">
        <w:rPr>
          <w:sz w:val="40"/>
          <w:szCs w:val="40"/>
        </w:rPr>
        <w:lastRenderedPageBreak/>
        <w:t>District MAP data</w:t>
      </w:r>
    </w:p>
    <w:p w:rsidR="00C15A59" w:rsidRPr="001B7E01" w:rsidRDefault="00C15A59" w:rsidP="00C15A59">
      <w:pPr>
        <w:pStyle w:val="NoSpacing"/>
        <w:jc w:val="center"/>
        <w:rPr>
          <w:sz w:val="28"/>
          <w:szCs w:val="28"/>
        </w:rPr>
      </w:pPr>
      <w:r w:rsidRPr="001B7E01">
        <w:rPr>
          <w:sz w:val="28"/>
          <w:szCs w:val="28"/>
        </w:rPr>
        <w:t>Kindergarten 2009-2010</w:t>
      </w:r>
    </w:p>
    <w:p w:rsidR="00C15A59" w:rsidRPr="001B7E01" w:rsidRDefault="00C15A59" w:rsidP="00C15A59">
      <w:pPr>
        <w:pStyle w:val="NoSpacing"/>
        <w:jc w:val="center"/>
        <w:rPr>
          <w:sz w:val="24"/>
          <w:szCs w:val="24"/>
        </w:rPr>
      </w:pPr>
      <w:r w:rsidRPr="001B7E01">
        <w:rPr>
          <w:sz w:val="24"/>
          <w:szCs w:val="24"/>
        </w:rPr>
        <w:t>Attended Preschool 2008-2009</w:t>
      </w:r>
    </w:p>
    <w:p w:rsidR="00C15A59" w:rsidRDefault="00C15A59" w:rsidP="00C15A59">
      <w:pPr>
        <w:pStyle w:val="NoSpacing"/>
        <w:jc w:val="center"/>
        <w:rPr>
          <w:i/>
          <w:sz w:val="20"/>
          <w:szCs w:val="20"/>
        </w:rPr>
      </w:pPr>
    </w:p>
    <w:p w:rsidR="00C15A59" w:rsidRDefault="00C15A59" w:rsidP="00C15A59">
      <w:pPr>
        <w:pStyle w:val="NoSpacing"/>
        <w:jc w:val="center"/>
      </w:pPr>
    </w:p>
    <w:p w:rsidR="00C15A59" w:rsidRDefault="00C15A59" w:rsidP="00C15A59">
      <w:pPr>
        <w:pStyle w:val="NoSpacing"/>
      </w:pPr>
    </w:p>
    <w:tbl>
      <w:tblPr>
        <w:tblStyle w:val="LightList-Accent2"/>
        <w:tblW w:w="0" w:type="auto"/>
        <w:tblLook w:val="04A0"/>
      </w:tblPr>
      <w:tblGrid>
        <w:gridCol w:w="2203"/>
        <w:gridCol w:w="2203"/>
        <w:gridCol w:w="2203"/>
      </w:tblGrid>
      <w:tr w:rsidR="00C15A59" w:rsidTr="00C15A59">
        <w:trPr>
          <w:cnfStyle w:val="100000000000"/>
        </w:trPr>
        <w:tc>
          <w:tcPr>
            <w:cnfStyle w:val="001000000000"/>
            <w:tcW w:w="2203" w:type="dxa"/>
          </w:tcPr>
          <w:p w:rsidR="00C15A59" w:rsidRDefault="00C15A59" w:rsidP="00C15A59">
            <w:pPr>
              <w:pStyle w:val="NoSpacing"/>
            </w:pPr>
            <w:r>
              <w:t>Reading</w:t>
            </w: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100000000000"/>
            </w:pP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100000000000"/>
            </w:pP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2203" w:type="dxa"/>
          </w:tcPr>
          <w:p w:rsidR="00C15A59" w:rsidRDefault="00C15A59" w:rsidP="00C15A59">
            <w:pPr>
              <w:pStyle w:val="NoSpacing"/>
            </w:pPr>
            <w:r>
              <w:t>Below</w:t>
            </w: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000000100000"/>
            </w:pPr>
            <w:r>
              <w:t>37</w:t>
            </w: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000000100000"/>
            </w:pPr>
            <w:r>
              <w:t>16%</w:t>
            </w:r>
          </w:p>
        </w:tc>
      </w:tr>
      <w:tr w:rsidR="00C15A59" w:rsidTr="00C15A59">
        <w:tc>
          <w:tcPr>
            <w:cnfStyle w:val="001000000000"/>
            <w:tcW w:w="2203" w:type="dxa"/>
          </w:tcPr>
          <w:p w:rsidR="00C15A59" w:rsidRDefault="00C15A59" w:rsidP="00C15A59">
            <w:pPr>
              <w:pStyle w:val="NoSpacing"/>
            </w:pPr>
            <w:r>
              <w:t>At</w:t>
            </w: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000000000000"/>
            </w:pPr>
            <w:r>
              <w:t>7</w:t>
            </w: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000000000000"/>
            </w:pPr>
            <w:r>
              <w:t>3%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2203" w:type="dxa"/>
          </w:tcPr>
          <w:p w:rsidR="00C15A59" w:rsidRDefault="00C15A59" w:rsidP="00C15A59">
            <w:pPr>
              <w:pStyle w:val="NoSpacing"/>
            </w:pPr>
            <w:r>
              <w:t>Above</w:t>
            </w: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000000100000"/>
            </w:pPr>
            <w:r>
              <w:t>118</w:t>
            </w:r>
          </w:p>
        </w:tc>
        <w:tc>
          <w:tcPr>
            <w:tcW w:w="2203" w:type="dxa"/>
          </w:tcPr>
          <w:p w:rsidR="00C15A59" w:rsidRPr="006657C7" w:rsidRDefault="00C15A59" w:rsidP="00C15A5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657C7">
              <w:rPr>
                <w:b/>
                <w:sz w:val="24"/>
                <w:szCs w:val="24"/>
              </w:rPr>
              <w:t>50%</w:t>
            </w:r>
          </w:p>
        </w:tc>
      </w:tr>
      <w:tr w:rsidR="00C15A59" w:rsidTr="00C15A59">
        <w:tc>
          <w:tcPr>
            <w:cnfStyle w:val="001000000000"/>
            <w:tcW w:w="2203" w:type="dxa"/>
          </w:tcPr>
          <w:p w:rsidR="00C15A59" w:rsidRDefault="00C15A59" w:rsidP="00C15A59">
            <w:pPr>
              <w:pStyle w:val="NoSpacing"/>
            </w:pPr>
            <w:r>
              <w:t>Gifted</w:t>
            </w: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000000000000"/>
            </w:pPr>
            <w:r>
              <w:t>74</w:t>
            </w: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000000000000"/>
            </w:pPr>
            <w:r>
              <w:t>31%</w:t>
            </w:r>
          </w:p>
        </w:tc>
      </w:tr>
    </w:tbl>
    <w:p w:rsidR="00C15A59" w:rsidRDefault="00C15A59" w:rsidP="00C15A59">
      <w:pPr>
        <w:pStyle w:val="NoSpacing"/>
        <w:jc w:val="center"/>
      </w:pPr>
    </w:p>
    <w:p w:rsidR="00C15A59" w:rsidRDefault="00C15A59" w:rsidP="00C15A59">
      <w:pPr>
        <w:pStyle w:val="NoSpacing"/>
        <w:jc w:val="center"/>
      </w:pPr>
    </w:p>
    <w:p w:rsidR="00C15A59" w:rsidRDefault="00C15A59" w:rsidP="00C15A59">
      <w:pPr>
        <w:pStyle w:val="NoSpacing"/>
        <w:jc w:val="center"/>
      </w:pPr>
    </w:p>
    <w:tbl>
      <w:tblPr>
        <w:tblStyle w:val="LightList-Accent2"/>
        <w:tblW w:w="0" w:type="auto"/>
        <w:tblLook w:val="04A0"/>
      </w:tblPr>
      <w:tblGrid>
        <w:gridCol w:w="2203"/>
        <w:gridCol w:w="2203"/>
        <w:gridCol w:w="2203"/>
      </w:tblGrid>
      <w:tr w:rsidR="00C15A59" w:rsidTr="00C15A59">
        <w:trPr>
          <w:cnfStyle w:val="100000000000"/>
        </w:trPr>
        <w:tc>
          <w:tcPr>
            <w:cnfStyle w:val="001000000000"/>
            <w:tcW w:w="2203" w:type="dxa"/>
          </w:tcPr>
          <w:p w:rsidR="00C15A59" w:rsidRDefault="00C15A59" w:rsidP="00C15A59">
            <w:pPr>
              <w:pStyle w:val="NoSpacing"/>
            </w:pPr>
            <w:r>
              <w:t>Math</w:t>
            </w: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100000000000"/>
            </w:pP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100000000000"/>
            </w:pP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2203" w:type="dxa"/>
          </w:tcPr>
          <w:p w:rsidR="00C15A59" w:rsidRDefault="00C15A59" w:rsidP="00C15A59">
            <w:pPr>
              <w:pStyle w:val="NoSpacing"/>
            </w:pPr>
            <w:r>
              <w:t>Below</w:t>
            </w: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000000100000"/>
            </w:pPr>
            <w:r>
              <w:t>49</w:t>
            </w: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000000100000"/>
            </w:pPr>
            <w:r>
              <w:t>21%</w:t>
            </w:r>
          </w:p>
        </w:tc>
      </w:tr>
      <w:tr w:rsidR="00C15A59" w:rsidTr="00C15A59">
        <w:tc>
          <w:tcPr>
            <w:cnfStyle w:val="001000000000"/>
            <w:tcW w:w="2203" w:type="dxa"/>
          </w:tcPr>
          <w:p w:rsidR="00C15A59" w:rsidRDefault="00C15A59" w:rsidP="00C15A59">
            <w:pPr>
              <w:pStyle w:val="NoSpacing"/>
            </w:pPr>
            <w:r>
              <w:t>At</w:t>
            </w: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000000000000"/>
            </w:pPr>
            <w:r>
              <w:t>1</w:t>
            </w: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000000000000"/>
            </w:pPr>
            <w:r>
              <w:t>.4%</w:t>
            </w: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2203" w:type="dxa"/>
          </w:tcPr>
          <w:p w:rsidR="00C15A59" w:rsidRDefault="00C15A59" w:rsidP="00C15A59">
            <w:pPr>
              <w:pStyle w:val="NoSpacing"/>
            </w:pPr>
            <w:r>
              <w:t>Above</w:t>
            </w: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000000100000"/>
            </w:pPr>
            <w:r>
              <w:t>116</w:t>
            </w:r>
          </w:p>
        </w:tc>
        <w:tc>
          <w:tcPr>
            <w:tcW w:w="2203" w:type="dxa"/>
          </w:tcPr>
          <w:p w:rsidR="00C15A59" w:rsidRPr="006657C7" w:rsidRDefault="00C15A59" w:rsidP="00C15A5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657C7">
              <w:rPr>
                <w:b/>
                <w:sz w:val="24"/>
                <w:szCs w:val="24"/>
              </w:rPr>
              <w:t>49%</w:t>
            </w:r>
          </w:p>
        </w:tc>
      </w:tr>
      <w:tr w:rsidR="00C15A59" w:rsidTr="00C15A59">
        <w:tc>
          <w:tcPr>
            <w:cnfStyle w:val="001000000000"/>
            <w:tcW w:w="2203" w:type="dxa"/>
          </w:tcPr>
          <w:p w:rsidR="00C15A59" w:rsidRDefault="00C15A59" w:rsidP="00C15A59">
            <w:pPr>
              <w:pStyle w:val="NoSpacing"/>
            </w:pPr>
            <w:r>
              <w:t>Gifted</w:t>
            </w: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000000000000"/>
            </w:pPr>
            <w:r>
              <w:t>70</w:t>
            </w:r>
          </w:p>
        </w:tc>
        <w:tc>
          <w:tcPr>
            <w:tcW w:w="2203" w:type="dxa"/>
          </w:tcPr>
          <w:p w:rsidR="00C15A59" w:rsidRDefault="00C15A59" w:rsidP="00C15A59">
            <w:pPr>
              <w:pStyle w:val="NoSpacing"/>
              <w:jc w:val="center"/>
              <w:cnfStyle w:val="000000000000"/>
            </w:pPr>
            <w:r>
              <w:t>30%</w:t>
            </w:r>
          </w:p>
        </w:tc>
      </w:tr>
    </w:tbl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tbl>
      <w:tblPr>
        <w:tblStyle w:val="LightList-Accent2"/>
        <w:tblW w:w="0" w:type="auto"/>
        <w:tblLook w:val="04A0"/>
      </w:tblPr>
      <w:tblGrid>
        <w:gridCol w:w="3672"/>
        <w:gridCol w:w="3672"/>
        <w:gridCol w:w="3672"/>
      </w:tblGrid>
      <w:tr w:rsidR="00C15A59" w:rsidTr="00C15A59">
        <w:trPr>
          <w:cnfStyle w:val="100000000000"/>
        </w:trPr>
        <w:tc>
          <w:tcPr>
            <w:cnfStyle w:val="001000000000"/>
            <w:tcW w:w="3672" w:type="dxa"/>
          </w:tcPr>
          <w:p w:rsidR="00C15A59" w:rsidRDefault="00C15A59" w:rsidP="00C15A59">
            <w:pPr>
              <w:pStyle w:val="NoSpacing"/>
            </w:pPr>
            <w:r>
              <w:t>Made Expected Annual Growth</w:t>
            </w:r>
          </w:p>
        </w:tc>
        <w:tc>
          <w:tcPr>
            <w:tcW w:w="3672" w:type="dxa"/>
          </w:tcPr>
          <w:p w:rsidR="00C15A59" w:rsidRDefault="00C15A59" w:rsidP="00C15A59">
            <w:pPr>
              <w:pStyle w:val="NoSpacing"/>
              <w:cnfStyle w:val="100000000000"/>
            </w:pPr>
          </w:p>
        </w:tc>
        <w:tc>
          <w:tcPr>
            <w:tcW w:w="3672" w:type="dxa"/>
          </w:tcPr>
          <w:p w:rsidR="00C15A59" w:rsidRDefault="00C15A59" w:rsidP="00C15A59">
            <w:pPr>
              <w:pStyle w:val="NoSpacing"/>
              <w:cnfStyle w:val="100000000000"/>
            </w:pPr>
          </w:p>
        </w:tc>
      </w:tr>
      <w:tr w:rsidR="00C15A59" w:rsidTr="00C15A59">
        <w:trPr>
          <w:cnfStyle w:val="000000100000"/>
        </w:trPr>
        <w:tc>
          <w:tcPr>
            <w:cnfStyle w:val="001000000000"/>
            <w:tcW w:w="3672" w:type="dxa"/>
          </w:tcPr>
          <w:p w:rsidR="00C15A59" w:rsidRDefault="00C15A59" w:rsidP="00C15A59">
            <w:pPr>
              <w:pStyle w:val="NoSpacing"/>
            </w:pPr>
            <w:r>
              <w:t>Reading</w:t>
            </w:r>
          </w:p>
        </w:tc>
        <w:tc>
          <w:tcPr>
            <w:tcW w:w="3672" w:type="dxa"/>
          </w:tcPr>
          <w:p w:rsidR="00C15A59" w:rsidRDefault="00C15A59" w:rsidP="00C15A59">
            <w:pPr>
              <w:pStyle w:val="NoSpacing"/>
              <w:cnfStyle w:val="000000100000"/>
            </w:pPr>
            <w:r>
              <w:t>231</w:t>
            </w:r>
          </w:p>
        </w:tc>
        <w:tc>
          <w:tcPr>
            <w:tcW w:w="3672" w:type="dxa"/>
          </w:tcPr>
          <w:p w:rsidR="00C15A59" w:rsidRDefault="00C15A59" w:rsidP="00C15A59">
            <w:pPr>
              <w:pStyle w:val="NoSpacing"/>
              <w:cnfStyle w:val="000000100000"/>
            </w:pPr>
            <w:r>
              <w:t>98%</w:t>
            </w:r>
          </w:p>
        </w:tc>
      </w:tr>
      <w:tr w:rsidR="00C15A59" w:rsidTr="00C15A59">
        <w:tc>
          <w:tcPr>
            <w:cnfStyle w:val="001000000000"/>
            <w:tcW w:w="3672" w:type="dxa"/>
          </w:tcPr>
          <w:p w:rsidR="00C15A59" w:rsidRDefault="00C15A59" w:rsidP="00C15A59">
            <w:pPr>
              <w:pStyle w:val="NoSpacing"/>
            </w:pPr>
            <w:r>
              <w:t>Math</w:t>
            </w:r>
          </w:p>
        </w:tc>
        <w:tc>
          <w:tcPr>
            <w:tcW w:w="3672" w:type="dxa"/>
          </w:tcPr>
          <w:p w:rsidR="00C15A59" w:rsidRDefault="00C15A59" w:rsidP="00C15A59">
            <w:pPr>
              <w:pStyle w:val="NoSpacing"/>
              <w:cnfStyle w:val="000000000000"/>
            </w:pPr>
            <w:r>
              <w:t>229</w:t>
            </w:r>
          </w:p>
        </w:tc>
        <w:tc>
          <w:tcPr>
            <w:tcW w:w="3672" w:type="dxa"/>
          </w:tcPr>
          <w:p w:rsidR="00C15A59" w:rsidRDefault="00C15A59" w:rsidP="00C15A59">
            <w:pPr>
              <w:pStyle w:val="NoSpacing"/>
              <w:cnfStyle w:val="000000000000"/>
            </w:pPr>
            <w:r>
              <w:t>97%</w:t>
            </w:r>
          </w:p>
        </w:tc>
      </w:tr>
    </w:tbl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Title"/>
      </w:pPr>
      <w:r w:rsidRPr="00C15A59">
        <w:lastRenderedPageBreak/>
        <w:t>District Data</w:t>
      </w:r>
    </w:p>
    <w:p w:rsidR="00C15A59" w:rsidRPr="00C15A59" w:rsidRDefault="00C15A59" w:rsidP="00C15A59">
      <w:pPr>
        <w:pStyle w:val="Title"/>
      </w:pPr>
      <w:r>
        <w:t>DIAL 3 Results</w:t>
      </w:r>
      <w:r w:rsidRPr="00C15A59">
        <w:br/>
        <w:t>Average Points Gained</w:t>
      </w: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p w:rsidR="00C15A59" w:rsidRDefault="00C15A59" w:rsidP="00C15A59">
      <w:pPr>
        <w:pStyle w:val="NoSpacing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2"/>
        <w:gridCol w:w="2772"/>
        <w:gridCol w:w="2772"/>
        <w:gridCol w:w="2772"/>
      </w:tblGrid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  <w:szCs w:val="20"/>
              </w:rPr>
              <w:t xml:space="preserve">School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  <w:szCs w:val="20"/>
              </w:rPr>
              <w:t xml:space="preserve">Motor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  <w:szCs w:val="20"/>
              </w:rPr>
              <w:t xml:space="preserve">Concepts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  <w:szCs w:val="20"/>
              </w:rPr>
              <w:t xml:space="preserve">Language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AB Chandler 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9.8 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6.4 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4.3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Bend Gate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9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7.1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8.2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Cairo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3.6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3.8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2.4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East Heights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6.2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7.1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Data not available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Niagara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Data not available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7.4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Data not available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Jefferson I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7.7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7.1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6.3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Jefferson II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6.9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6.2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8.2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Spottsville</w:t>
            </w:r>
            <w:proofErr w:type="spellEnd"/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 I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7.1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6.3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5.3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Spottsville</w:t>
            </w:r>
            <w:proofErr w:type="spellEnd"/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 II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9.8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5.9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2.8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DISTRICT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7.6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6.5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A5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5.9 </w:t>
            </w:r>
          </w:p>
        </w:tc>
      </w:tr>
    </w:tbl>
    <w:p w:rsidR="00C15A59" w:rsidRDefault="00C15A59">
      <w:pPr>
        <w:rPr>
          <w:sz w:val="20"/>
          <w:szCs w:val="20"/>
        </w:rPr>
      </w:pPr>
    </w:p>
    <w:p w:rsidR="00C15A59" w:rsidRDefault="00C15A59">
      <w:pPr>
        <w:rPr>
          <w:sz w:val="20"/>
          <w:szCs w:val="20"/>
        </w:rPr>
      </w:pPr>
    </w:p>
    <w:p w:rsidR="00C15A59" w:rsidRDefault="00C15A59">
      <w:pPr>
        <w:rPr>
          <w:sz w:val="20"/>
          <w:szCs w:val="20"/>
        </w:rPr>
      </w:pPr>
    </w:p>
    <w:p w:rsidR="00C15A59" w:rsidRDefault="00C15A59">
      <w:pPr>
        <w:rPr>
          <w:sz w:val="20"/>
          <w:szCs w:val="20"/>
        </w:rPr>
      </w:pPr>
    </w:p>
    <w:p w:rsidR="00C15A59" w:rsidRDefault="00C15A59">
      <w:pPr>
        <w:rPr>
          <w:sz w:val="20"/>
          <w:szCs w:val="20"/>
        </w:rPr>
      </w:pPr>
    </w:p>
    <w:p w:rsidR="00C15A59" w:rsidRDefault="00C15A59">
      <w:pPr>
        <w:rPr>
          <w:sz w:val="20"/>
          <w:szCs w:val="20"/>
        </w:rPr>
      </w:pPr>
    </w:p>
    <w:p w:rsidR="00C15A59" w:rsidRDefault="00C15A59" w:rsidP="00C15A59">
      <w:pPr>
        <w:pStyle w:val="Title"/>
      </w:pPr>
      <w:r w:rsidRPr="00C15A59">
        <w:lastRenderedPageBreak/>
        <w:t>District Data</w:t>
      </w:r>
      <w:r w:rsidRPr="00C15A59">
        <w:br/>
      </w:r>
      <w:r>
        <w:t>DIAL 3 Results</w:t>
      </w:r>
    </w:p>
    <w:p w:rsidR="000074C0" w:rsidRDefault="00C15A59" w:rsidP="00C15A59">
      <w:pPr>
        <w:pStyle w:val="Title"/>
        <w:rPr>
          <w:sz w:val="48"/>
          <w:szCs w:val="48"/>
        </w:rPr>
      </w:pPr>
      <w:r w:rsidRPr="00C15A59">
        <w:rPr>
          <w:sz w:val="48"/>
          <w:szCs w:val="48"/>
        </w:rPr>
        <w:t>Percent of Students Exiting at or above Criterion</w:t>
      </w:r>
    </w:p>
    <w:p w:rsidR="00C15A59" w:rsidRDefault="00C15A59" w:rsidP="00C15A59"/>
    <w:p w:rsidR="00C15A59" w:rsidRPr="00C15A59" w:rsidRDefault="00C15A59" w:rsidP="00C15A59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2"/>
        <w:gridCol w:w="2772"/>
        <w:gridCol w:w="2772"/>
        <w:gridCol w:w="2772"/>
      </w:tblGrid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b/>
                <w:bCs/>
                <w:sz w:val="20"/>
                <w:szCs w:val="20"/>
              </w:rPr>
              <w:t xml:space="preserve">School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b/>
                <w:bCs/>
                <w:sz w:val="20"/>
                <w:szCs w:val="20"/>
              </w:rPr>
              <w:t xml:space="preserve">Motor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b/>
                <w:bCs/>
                <w:sz w:val="20"/>
                <w:szCs w:val="20"/>
              </w:rPr>
              <w:t xml:space="preserve">Concepts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b/>
                <w:bCs/>
                <w:sz w:val="20"/>
                <w:szCs w:val="20"/>
              </w:rPr>
              <w:t xml:space="preserve">Language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AB Chandler 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94% 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97% 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94%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Bend Gate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97%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97%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94%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Cairo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100%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100%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100%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East Heights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97%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97%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No report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Niagara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No report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86%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No report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Jefferson I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100%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94%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87%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Jefferson II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100%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100%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100%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proofErr w:type="spellStart"/>
            <w:r w:rsidRPr="00C15A59">
              <w:rPr>
                <w:sz w:val="20"/>
                <w:szCs w:val="20"/>
              </w:rPr>
              <w:t>Spottsville</w:t>
            </w:r>
            <w:proofErr w:type="spellEnd"/>
            <w:r w:rsidRPr="00C15A59">
              <w:rPr>
                <w:sz w:val="20"/>
                <w:szCs w:val="20"/>
              </w:rPr>
              <w:t xml:space="preserve"> I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95%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100%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97%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proofErr w:type="spellStart"/>
            <w:r w:rsidRPr="00C15A59">
              <w:rPr>
                <w:sz w:val="20"/>
                <w:szCs w:val="20"/>
              </w:rPr>
              <w:t>Spottsville</w:t>
            </w:r>
            <w:proofErr w:type="spellEnd"/>
            <w:r w:rsidRPr="00C15A59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89%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90%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90% </w:t>
            </w:r>
          </w:p>
        </w:tc>
      </w:tr>
      <w:tr w:rsidR="00C15A59" w:rsidRPr="00C15A59" w:rsidTr="00C15A59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 xml:space="preserve">DISTRICT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DA3929">
              <w:rPr>
                <w:i/>
                <w:iCs/>
                <w:color w:val="FF0000"/>
                <w:sz w:val="20"/>
                <w:szCs w:val="20"/>
              </w:rPr>
              <w:t>66%</w:t>
            </w:r>
            <w:r w:rsidRPr="00C15A59">
              <w:rPr>
                <w:i/>
                <w:iCs/>
                <w:sz w:val="20"/>
                <w:szCs w:val="20"/>
              </w:rPr>
              <w:t xml:space="preserve">     </w:t>
            </w:r>
            <w:r w:rsidRPr="00C15A59">
              <w:rPr>
                <w:sz w:val="20"/>
                <w:szCs w:val="20"/>
              </w:rPr>
              <w:t xml:space="preserve">97%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DA3929">
              <w:rPr>
                <w:i/>
                <w:iCs/>
                <w:color w:val="FF0000"/>
                <w:sz w:val="20"/>
                <w:szCs w:val="20"/>
              </w:rPr>
              <w:t>79%</w:t>
            </w:r>
            <w:r w:rsidRPr="00C15A59">
              <w:rPr>
                <w:i/>
                <w:iCs/>
                <w:sz w:val="20"/>
                <w:szCs w:val="20"/>
              </w:rPr>
              <w:t xml:space="preserve">     </w:t>
            </w:r>
            <w:r w:rsidRPr="00C15A59">
              <w:rPr>
                <w:sz w:val="20"/>
                <w:szCs w:val="20"/>
              </w:rPr>
              <w:t xml:space="preserve">97%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A59" w:rsidRPr="00C15A59" w:rsidRDefault="00C15A59" w:rsidP="00C15A59">
            <w:pPr>
              <w:rPr>
                <w:sz w:val="20"/>
                <w:szCs w:val="20"/>
              </w:rPr>
            </w:pPr>
            <w:r w:rsidRPr="00DA3929">
              <w:rPr>
                <w:i/>
                <w:iCs/>
                <w:color w:val="FF0000"/>
                <w:sz w:val="20"/>
                <w:szCs w:val="20"/>
              </w:rPr>
              <w:t>73%</w:t>
            </w:r>
            <w:r w:rsidRPr="00C15A59">
              <w:rPr>
                <w:i/>
                <w:iCs/>
                <w:sz w:val="20"/>
                <w:szCs w:val="20"/>
              </w:rPr>
              <w:t xml:space="preserve"> </w:t>
            </w:r>
            <w:r w:rsidRPr="00C15A59">
              <w:rPr>
                <w:sz w:val="20"/>
                <w:szCs w:val="20"/>
              </w:rPr>
              <w:t xml:space="preserve">    96% </w:t>
            </w:r>
          </w:p>
        </w:tc>
      </w:tr>
    </w:tbl>
    <w:p w:rsidR="00C15A59" w:rsidRPr="00C15A59" w:rsidRDefault="00C15A59">
      <w:pPr>
        <w:rPr>
          <w:sz w:val="20"/>
          <w:szCs w:val="20"/>
        </w:rPr>
      </w:pPr>
    </w:p>
    <w:sectPr w:rsidR="00C15A59" w:rsidRPr="00C15A59" w:rsidSect="00C15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A59"/>
    <w:rsid w:val="000074C0"/>
    <w:rsid w:val="00BA77FA"/>
    <w:rsid w:val="00C15A59"/>
    <w:rsid w:val="00DA3929"/>
    <w:rsid w:val="00F8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C15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C15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C15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oSpacing">
    <w:name w:val="No Spacing"/>
    <w:uiPriority w:val="1"/>
    <w:qFormat/>
    <w:rsid w:val="00C15A59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C15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unhideWhenUsed/>
    <w:rsid w:val="00C1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5A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aleisha.sheridan</dc:creator>
  <cp:keywords/>
  <dc:description/>
  <cp:lastModifiedBy>shelia.redmon</cp:lastModifiedBy>
  <cp:revision>2</cp:revision>
  <dcterms:created xsi:type="dcterms:W3CDTF">2010-09-21T14:15:00Z</dcterms:created>
  <dcterms:modified xsi:type="dcterms:W3CDTF">2010-09-21T14:15:00Z</dcterms:modified>
</cp:coreProperties>
</file>