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FE" w:rsidRDefault="004E6CFE" w:rsidP="004E6CFE">
      <w:pPr>
        <w:pStyle w:val="Heading1"/>
      </w:pPr>
      <w:r>
        <w:t>CURRICULUM AND INSTRUCTION</w:t>
      </w:r>
      <w:r>
        <w:tab/>
        <w:t>08.221</w:t>
      </w:r>
    </w:p>
    <w:p w:rsidR="004E6CFE" w:rsidRDefault="004E6CFE" w:rsidP="007C6CC3">
      <w:pPr>
        <w:pStyle w:val="policytitle"/>
      </w:pPr>
      <w:r>
        <w:t>Grading</w:t>
      </w:r>
    </w:p>
    <w:p w:rsidR="004E6CFE" w:rsidRDefault="004E6CFE" w:rsidP="004E6CFE">
      <w:pPr>
        <w:pStyle w:val="sideheading"/>
      </w:pPr>
      <w:r>
        <w:t>Achievement</w:t>
      </w:r>
    </w:p>
    <w:p w:rsidR="004E6CFE" w:rsidRDefault="004E6CFE" w:rsidP="004E6CFE">
      <w:pPr>
        <w:pStyle w:val="policytext"/>
      </w:pPr>
      <w:r>
        <w:t>Teachers shall maintain detailed, systematic records of the achievement of each student. A student's grade shall not be lowered as a disciplinary action.</w:t>
      </w:r>
    </w:p>
    <w:p w:rsidR="004E6CFE" w:rsidRDefault="004E6CFE" w:rsidP="004E6CFE">
      <w:pPr>
        <w:pStyle w:val="sideheading"/>
      </w:pPr>
      <w:r>
        <w:t>Grade Reports</w:t>
      </w:r>
    </w:p>
    <w:p w:rsidR="004E6CFE" w:rsidRPr="0056224C" w:rsidRDefault="004E6CFE" w:rsidP="004E6CFE">
      <w:pPr>
        <w:pStyle w:val="policytext"/>
        <w:rPr>
          <w:rStyle w:val="ksbanormal"/>
        </w:rPr>
      </w:pPr>
      <w:r w:rsidRPr="0056224C">
        <w:rPr>
          <w:rStyle w:val="ksbanormal"/>
        </w:rPr>
        <w:t>Students in grade kindergarten through twelve (K-12) shall receive progress/grade reports every nine (9) weeks.</w:t>
      </w:r>
    </w:p>
    <w:p w:rsidR="004E6CFE" w:rsidRDefault="004E6CFE" w:rsidP="004E6CFE">
      <w:pPr>
        <w:pStyle w:val="sideheading"/>
        <w:rPr>
          <w:rStyle w:val="ksbanormal"/>
        </w:rPr>
      </w:pPr>
      <w:r>
        <w:rPr>
          <w:rStyle w:val="ksbanormal"/>
        </w:rPr>
        <w:t>Mid-Term Reports</w:t>
      </w:r>
    </w:p>
    <w:p w:rsidR="004E6CFE" w:rsidRPr="0056224C" w:rsidRDefault="004E6CFE" w:rsidP="004E6CFE">
      <w:pPr>
        <w:pStyle w:val="policytext"/>
        <w:rPr>
          <w:rStyle w:val="ksbanormal"/>
        </w:rPr>
      </w:pPr>
      <w:r w:rsidRPr="0056224C">
        <w:rPr>
          <w:rStyle w:val="ksbanormal"/>
        </w:rPr>
        <w:t xml:space="preserve">Mid-term reports shall be issued for all students in </w:t>
      </w:r>
      <w:proofErr w:type="gramStart"/>
      <w:r w:rsidRPr="0056224C">
        <w:rPr>
          <w:rStyle w:val="ksbanormal"/>
        </w:rPr>
        <w:t>grades</w:t>
      </w:r>
      <w:r w:rsidR="00E90499">
        <w:rPr>
          <w:rStyle w:val="ksbanormal"/>
        </w:rPr>
        <w:t xml:space="preserve"> </w:t>
      </w:r>
      <w:r w:rsidRPr="00AF30B8">
        <w:rPr>
          <w:rStyle w:val="ksbanormal"/>
          <w:b/>
          <w:strike/>
          <w:color w:val="FF0000"/>
        </w:rPr>
        <w:t xml:space="preserve"> </w:t>
      </w:r>
      <w:r w:rsidR="00E90499" w:rsidRPr="00AF30B8">
        <w:rPr>
          <w:rStyle w:val="ksbanormal"/>
          <w:b/>
          <w:strike/>
          <w:color w:val="FF0000"/>
        </w:rPr>
        <w:t>4</w:t>
      </w:r>
      <w:proofErr w:type="gramEnd"/>
      <w:r w:rsidR="00E90499" w:rsidRPr="00AF30B8">
        <w:rPr>
          <w:rStyle w:val="ksbanormal"/>
          <w:b/>
          <w:strike/>
          <w:color w:val="FF0000"/>
        </w:rPr>
        <w:t xml:space="preserve"> </w:t>
      </w:r>
      <w:r w:rsidR="00E90499" w:rsidRPr="00E90499">
        <w:rPr>
          <w:rStyle w:val="ksbanormal"/>
          <w:color w:val="FF0000"/>
        </w:rPr>
        <w:t>3</w:t>
      </w:r>
      <w:r w:rsidRPr="0056224C">
        <w:rPr>
          <w:rStyle w:val="ksbanormal"/>
        </w:rPr>
        <w:t>-12.</w:t>
      </w:r>
      <w:bookmarkStart w:id="0" w:name="_GoBack"/>
      <w:bookmarkEnd w:id="0"/>
    </w:p>
    <w:p w:rsidR="004E6CFE" w:rsidRDefault="004E6CFE" w:rsidP="004E6CFE">
      <w:pPr>
        <w:pStyle w:val="sideheading"/>
        <w:rPr>
          <w:rStyle w:val="ksbanormal"/>
        </w:rPr>
      </w:pPr>
      <w:r>
        <w:rPr>
          <w:rStyle w:val="ksbanormal"/>
        </w:rPr>
        <w:t>Student Progress</w:t>
      </w:r>
    </w:p>
    <w:p w:rsidR="004E6CFE" w:rsidRDefault="004E6CFE" w:rsidP="004E6CFE">
      <w:pPr>
        <w:pStyle w:val="policytext"/>
        <w:rPr>
          <w:rStyle w:val="ksbanormal"/>
        </w:rPr>
      </w:pPr>
      <w:r>
        <w:rPr>
          <w:rStyle w:val="ksbanormal"/>
        </w:rPr>
        <w:t>The progress of kindergarten students shall be reported using S (Satisfactory progress) and N (Needs further development).</w:t>
      </w:r>
    </w:p>
    <w:p w:rsidR="004E6CFE" w:rsidRDefault="004E6CFE" w:rsidP="004E6CFE">
      <w:pPr>
        <w:pStyle w:val="policytext"/>
        <w:rPr>
          <w:rStyle w:val="ksbanormal"/>
        </w:rPr>
      </w:pPr>
      <w:r>
        <w:rPr>
          <w:rStyle w:val="ksbanormal"/>
        </w:rPr>
        <w:t xml:space="preserve">Progress reports for elementary students in grades 1-5 will indicate if a student is working above grade level, at grade level, or below grade level in the basic </w:t>
      </w:r>
      <w:proofErr w:type="gramStart"/>
      <w:r>
        <w:rPr>
          <w:rStyle w:val="ksbanormal"/>
        </w:rPr>
        <w:t>skills</w:t>
      </w:r>
      <w:proofErr w:type="gramEnd"/>
      <w:r>
        <w:rPr>
          <w:rStyle w:val="ksbanormal"/>
        </w:rPr>
        <w:t xml:space="preserve"> subject areas. The following scale shall be used to report academic progress for students in grades </w:t>
      </w:r>
      <w:r w:rsidRPr="00E90499">
        <w:rPr>
          <w:rStyle w:val="ksbanormal"/>
          <w:strike/>
          <w:color w:val="FF0000"/>
        </w:rPr>
        <w:t>four</w:t>
      </w:r>
      <w:r w:rsidR="00E90499">
        <w:rPr>
          <w:rStyle w:val="ksbanormal"/>
          <w:color w:val="FF0000"/>
        </w:rPr>
        <w:t xml:space="preserve"> three</w:t>
      </w:r>
      <w:r>
        <w:rPr>
          <w:rStyle w:val="ksbanormal"/>
        </w:rPr>
        <w:t xml:space="preserve"> through twelve (4-12) to parents:</w:t>
      </w:r>
    </w:p>
    <w:tbl>
      <w:tblPr>
        <w:tblW w:w="0" w:type="auto"/>
        <w:tblInd w:w="918" w:type="dxa"/>
        <w:tblLook w:val="01E0" w:firstRow="1" w:lastRow="1" w:firstColumn="1" w:lastColumn="1" w:noHBand="0" w:noVBand="0"/>
      </w:tblPr>
      <w:tblGrid>
        <w:gridCol w:w="2070"/>
        <w:gridCol w:w="2340"/>
        <w:gridCol w:w="2610"/>
      </w:tblGrid>
      <w:tr w:rsidR="004E6CFE" w:rsidRPr="00297D0E" w:rsidTr="00297D0E">
        <w:tc>
          <w:tcPr>
            <w:tcW w:w="207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60"/>
              <w:jc w:val="center"/>
              <w:rPr>
                <w:rStyle w:val="ksbanormal"/>
                <w:b/>
                <w:u w:val="single"/>
              </w:rPr>
            </w:pPr>
            <w:r w:rsidRPr="00297D0E">
              <w:rPr>
                <w:rStyle w:val="ksbanormal"/>
                <w:b/>
                <w:u w:val="single"/>
              </w:rPr>
              <w:t>LETTER</w:t>
            </w:r>
          </w:p>
        </w:tc>
        <w:tc>
          <w:tcPr>
            <w:tcW w:w="234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60"/>
              <w:jc w:val="center"/>
              <w:rPr>
                <w:rStyle w:val="ksbanormal"/>
                <w:b/>
                <w:u w:val="single"/>
              </w:rPr>
            </w:pPr>
            <w:smartTag w:uri="urn:schemas-microsoft-com:office:smarttags" w:element="City">
              <w:smartTag w:uri="urn:schemas-microsoft-com:office:smarttags" w:element="PlaceName">
                <w:r w:rsidRPr="00297D0E">
                  <w:rPr>
                    <w:rStyle w:val="ksbanormal"/>
                    <w:b/>
                    <w:u w:val="single"/>
                  </w:rPr>
                  <w:t>SCORE</w:t>
                </w:r>
              </w:smartTag>
              <w:r w:rsidRPr="00297D0E">
                <w:rPr>
                  <w:rStyle w:val="ksbanormal"/>
                  <w:b/>
                  <w:u w:val="single"/>
                </w:rPr>
                <w:t xml:space="preserve"> </w:t>
              </w:r>
              <w:smartTag w:uri="urn:schemas-microsoft-com:office:smarttags" w:element="PlaceType">
                <w:r w:rsidRPr="00297D0E">
                  <w:rPr>
                    <w:rStyle w:val="ksbanormal"/>
                    <w:b/>
                    <w:u w:val="single"/>
                  </w:rPr>
                  <w:t>RANGE</w:t>
                </w:r>
              </w:smartTag>
            </w:smartTag>
          </w:p>
        </w:tc>
        <w:tc>
          <w:tcPr>
            <w:tcW w:w="261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60"/>
              <w:jc w:val="center"/>
              <w:rPr>
                <w:rStyle w:val="ksbanormal"/>
                <w:b/>
                <w:u w:val="single"/>
              </w:rPr>
            </w:pPr>
            <w:r w:rsidRPr="00297D0E">
              <w:rPr>
                <w:rStyle w:val="ksbanormal"/>
                <w:b/>
                <w:u w:val="single"/>
              </w:rPr>
              <w:t>PERFORMANCE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A+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9D316D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>
              <w:rPr>
                <w:rStyle w:val="ksbanormal"/>
              </w:rPr>
              <w:t>100-</w:t>
            </w:r>
            <w:r w:rsidR="004E6CFE" w:rsidRPr="00E866C6">
              <w:rPr>
                <w:rStyle w:val="ksbanormal"/>
              </w:rPr>
              <w:t>99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Excellent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A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98-97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Excellent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A-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96-95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Excellent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B+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9D316D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>
              <w:rPr>
                <w:rStyle w:val="ksbanormal"/>
              </w:rPr>
              <w:t>94-</w:t>
            </w:r>
            <w:r w:rsidR="004E6CFE" w:rsidRPr="00E866C6">
              <w:rPr>
                <w:rStyle w:val="ksbanormal"/>
              </w:rPr>
              <w:t>93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Above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B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92-90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Above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B-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89-88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Above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C+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9D316D" w:rsidP="009D316D">
            <w:pPr>
              <w:pStyle w:val="policytext"/>
              <w:spacing w:after="60"/>
              <w:jc w:val="center"/>
              <w:rPr>
                <w:rStyle w:val="ksbanormal"/>
              </w:rPr>
            </w:pPr>
            <w:r>
              <w:rPr>
                <w:rStyle w:val="ksbanormal"/>
              </w:rPr>
              <w:t>87</w:t>
            </w:r>
            <w:r w:rsidR="004E6CFE" w:rsidRPr="00E866C6">
              <w:rPr>
                <w:rStyle w:val="ksbanormal"/>
              </w:rPr>
              <w:t>-86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C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85-79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C-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78-77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D+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9D316D" w:rsidP="009D316D">
            <w:pPr>
              <w:pStyle w:val="policytext"/>
              <w:spacing w:after="60"/>
              <w:jc w:val="center"/>
              <w:rPr>
                <w:rStyle w:val="ksbanormal"/>
              </w:rPr>
            </w:pPr>
            <w:r>
              <w:rPr>
                <w:rStyle w:val="ksbanormal"/>
              </w:rPr>
              <w:t>76</w:t>
            </w:r>
            <w:r w:rsidR="004E6CFE" w:rsidRPr="00E866C6">
              <w:rPr>
                <w:rStyle w:val="ksbanormal"/>
              </w:rPr>
              <w:t>-75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Below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D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74-72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Below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D-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71-70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Below Average</w:t>
            </w:r>
          </w:p>
        </w:tc>
      </w:tr>
      <w:tr w:rsidR="004E6CFE" w:rsidRPr="00E866C6" w:rsidTr="00297D0E">
        <w:tc>
          <w:tcPr>
            <w:tcW w:w="207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ind w:left="792"/>
              <w:jc w:val="left"/>
              <w:rPr>
                <w:rStyle w:val="ksbanormal"/>
              </w:rPr>
            </w:pPr>
            <w:r w:rsidRPr="00E866C6">
              <w:rPr>
                <w:rStyle w:val="ksbanormal"/>
              </w:rPr>
              <w:t>F</w:t>
            </w:r>
          </w:p>
        </w:tc>
        <w:tc>
          <w:tcPr>
            <w:tcW w:w="2340" w:type="dxa"/>
            <w:shd w:val="clear" w:color="auto" w:fill="auto"/>
          </w:tcPr>
          <w:p w:rsidR="004E6CFE" w:rsidRPr="00E866C6" w:rsidRDefault="009D316D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>
              <w:rPr>
                <w:rStyle w:val="ksbanormal"/>
              </w:rPr>
              <w:t>69-</w:t>
            </w:r>
            <w:r w:rsidR="004E6CFE" w:rsidRPr="00E866C6">
              <w:rPr>
                <w:rStyle w:val="ksbanormal"/>
              </w:rPr>
              <w:t>0</w:t>
            </w:r>
          </w:p>
        </w:tc>
        <w:tc>
          <w:tcPr>
            <w:tcW w:w="2610" w:type="dxa"/>
            <w:shd w:val="clear" w:color="auto" w:fill="auto"/>
          </w:tcPr>
          <w:p w:rsidR="004E6CFE" w:rsidRPr="00E866C6" w:rsidRDefault="004E6CFE" w:rsidP="00297D0E">
            <w:pPr>
              <w:pStyle w:val="policytext"/>
              <w:spacing w:after="60"/>
              <w:jc w:val="center"/>
              <w:rPr>
                <w:rStyle w:val="ksbanormal"/>
              </w:rPr>
            </w:pPr>
            <w:r w:rsidRPr="00E866C6">
              <w:rPr>
                <w:rStyle w:val="ksbanormal"/>
              </w:rPr>
              <w:t>Failing</w:t>
            </w:r>
          </w:p>
        </w:tc>
      </w:tr>
    </w:tbl>
    <w:p w:rsidR="00C41A23" w:rsidRPr="00B43772" w:rsidRDefault="00C41A23" w:rsidP="00C41A23">
      <w:pPr>
        <w:pStyle w:val="policytext"/>
        <w:spacing w:after="60"/>
        <w:rPr>
          <w:rStyle w:val="ksbanormal"/>
        </w:rPr>
      </w:pPr>
      <w:r>
        <w:rPr>
          <w:rStyle w:val="ksbanormal"/>
        </w:rPr>
        <w:t>For secondary students grades 8-12, the following shall be used to assign a grade point to a numeric grade:</w:t>
      </w:r>
    </w:p>
    <w:p w:rsidR="004E6CFE" w:rsidRDefault="004E6CFE" w:rsidP="004E6CFE">
      <w:pPr>
        <w:pStyle w:val="Heading1"/>
      </w:pPr>
      <w:r>
        <w:rPr>
          <w:rStyle w:val="ksbanormal"/>
        </w:rPr>
        <w:br w:type="page"/>
      </w:r>
      <w:r>
        <w:lastRenderedPageBreak/>
        <w:t>CURRICULUM AND INSTRUCTION</w:t>
      </w:r>
      <w:r>
        <w:tab/>
        <w:t>08.221</w:t>
      </w:r>
    </w:p>
    <w:p w:rsidR="004E6CFE" w:rsidRDefault="004E6CFE" w:rsidP="004E6CFE">
      <w:pPr>
        <w:pStyle w:val="Heading1"/>
      </w:pPr>
      <w:r>
        <w:tab/>
        <w:t>(Continued)</w:t>
      </w:r>
    </w:p>
    <w:p w:rsidR="004E6CFE" w:rsidRDefault="004E6CFE" w:rsidP="00274B29">
      <w:pPr>
        <w:pStyle w:val="policytitle"/>
        <w:spacing w:before="60" w:after="120"/>
      </w:pPr>
      <w:r>
        <w:t>Grading</w:t>
      </w:r>
    </w:p>
    <w:p w:rsidR="004E6CFE" w:rsidRDefault="004E6CFE" w:rsidP="00C41A23">
      <w:pPr>
        <w:pStyle w:val="sideheading"/>
        <w:spacing w:after="60"/>
        <w:rPr>
          <w:rStyle w:val="ksbanormal"/>
        </w:rPr>
      </w:pPr>
      <w:r>
        <w:rPr>
          <w:rStyle w:val="ksbanormal"/>
        </w:rPr>
        <w:t>Student Progress (continued)</w:t>
      </w:r>
    </w:p>
    <w:tbl>
      <w:tblPr>
        <w:tblW w:w="0" w:type="auto"/>
        <w:tblInd w:w="1638" w:type="dxa"/>
        <w:tblLook w:val="01E0" w:firstRow="1" w:lastRow="1" w:firstColumn="1" w:lastColumn="1" w:noHBand="0" w:noVBand="0"/>
      </w:tblPr>
      <w:tblGrid>
        <w:gridCol w:w="2430"/>
        <w:gridCol w:w="2700"/>
      </w:tblGrid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  <w:u w:val="single"/>
              </w:rPr>
            </w:pPr>
            <w:r w:rsidRPr="00297D0E">
              <w:rPr>
                <w:rStyle w:val="ksbanormal"/>
                <w:sz w:val="23"/>
                <w:szCs w:val="23"/>
                <w:u w:val="single"/>
              </w:rPr>
              <w:t>Numeric Grade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  <w:u w:val="single"/>
              </w:rPr>
            </w:pPr>
            <w:r w:rsidRPr="00297D0E">
              <w:rPr>
                <w:rStyle w:val="ksbanormal"/>
                <w:sz w:val="23"/>
                <w:szCs w:val="23"/>
                <w:u w:val="single"/>
              </w:rPr>
              <w:t>Grade Point Equivalent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95-100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4.00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94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3.86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93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3.71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92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3.57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91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3.43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90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3.29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89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3.14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88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3.00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87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2.91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86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2.82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85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2.73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84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2.64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83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2.55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82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2.45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81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2.36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80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2.27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79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2.18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78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2.09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77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2.00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76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1.86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75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1.71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74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1.57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73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1.43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72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1.29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71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1.14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70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1.00</w:t>
            </w:r>
          </w:p>
        </w:tc>
      </w:tr>
      <w:tr w:rsidR="004E6CFE" w:rsidRPr="00297D0E" w:rsidTr="00297D0E">
        <w:tc>
          <w:tcPr>
            <w:tcW w:w="243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69 and below</w:t>
            </w:r>
          </w:p>
        </w:tc>
        <w:tc>
          <w:tcPr>
            <w:tcW w:w="2700" w:type="dxa"/>
            <w:shd w:val="clear" w:color="auto" w:fill="auto"/>
          </w:tcPr>
          <w:p w:rsidR="004E6CFE" w:rsidRPr="00297D0E" w:rsidRDefault="004E6CFE" w:rsidP="00297D0E">
            <w:pPr>
              <w:pStyle w:val="policytext"/>
              <w:spacing w:after="0"/>
              <w:jc w:val="center"/>
              <w:rPr>
                <w:rStyle w:val="ksbanormal"/>
                <w:sz w:val="23"/>
                <w:szCs w:val="23"/>
              </w:rPr>
            </w:pPr>
            <w:r w:rsidRPr="00297D0E">
              <w:rPr>
                <w:rStyle w:val="ksbanormal"/>
                <w:sz w:val="23"/>
                <w:szCs w:val="23"/>
              </w:rPr>
              <w:t>0.00</w:t>
            </w:r>
          </w:p>
        </w:tc>
      </w:tr>
    </w:tbl>
    <w:p w:rsidR="004E6CFE" w:rsidRDefault="004E6CFE" w:rsidP="00C41A23">
      <w:pPr>
        <w:pStyle w:val="policytext"/>
        <w:spacing w:after="60"/>
        <w:rPr>
          <w:rStyle w:val="ksbanormal"/>
        </w:rPr>
      </w:pPr>
      <w:r>
        <w:rPr>
          <w:rStyle w:val="ksbanormal"/>
        </w:rPr>
        <w:t>Exceptions to the above scales may be allowed for special education students if the parent/guardian and school personnel agree to an exception and so state in the student’s IEP.</w:t>
      </w:r>
    </w:p>
    <w:p w:rsidR="000739BF" w:rsidRPr="000739BF" w:rsidRDefault="004E6CFE" w:rsidP="000739BF">
      <w:pPr>
        <w:pStyle w:val="policytext"/>
        <w:spacing w:after="60"/>
        <w:rPr>
          <w:b/>
        </w:rPr>
      </w:pPr>
      <w:r w:rsidRPr="0056224C">
        <w:rPr>
          <w:rStyle w:val="ksbanormal"/>
        </w:rPr>
        <w:t xml:space="preserve">Students enrolled in </w:t>
      </w:r>
      <w:r w:rsidR="00CE4444" w:rsidRPr="0056224C">
        <w:rPr>
          <w:rStyle w:val="ksbanormal"/>
        </w:rPr>
        <w:t xml:space="preserve">Pre-AP </w:t>
      </w:r>
      <w:r w:rsidRPr="0056224C">
        <w:rPr>
          <w:rStyle w:val="ksbanormal"/>
        </w:rPr>
        <w:t xml:space="preserve">or Advanced Placement classes shall receive a converted grade at the end of each </w:t>
      </w:r>
      <w:r w:rsidR="002725DC" w:rsidRPr="0056224C">
        <w:rPr>
          <w:rStyle w:val="ksbanormal"/>
        </w:rPr>
        <w:t>nine-week</w:t>
      </w:r>
      <w:r w:rsidRPr="0056224C">
        <w:rPr>
          <w:rStyle w:val="ksbanormal"/>
        </w:rPr>
        <w:t xml:space="preserve"> (9) and semester exam. Students in </w:t>
      </w:r>
      <w:r w:rsidR="00CE4444" w:rsidRPr="0056224C">
        <w:rPr>
          <w:rStyle w:val="ksbanormal"/>
        </w:rPr>
        <w:t xml:space="preserve">Pre-AP </w:t>
      </w:r>
      <w:r w:rsidRPr="0056224C">
        <w:rPr>
          <w:rStyle w:val="ksbanormal"/>
        </w:rPr>
        <w:t>classes shall have the final nine-week (9) grades and semester exam multiplied by 1.05, and those enrolled in Advanced Placement classes shall have their final nine-week (9) grades and semester exam multiplied by 1.08. These grades shall appear on report cards and transcripts.</w:t>
      </w:r>
    </w:p>
    <w:p w:rsidR="004E6CFE" w:rsidRDefault="004E6CFE" w:rsidP="00C41A23">
      <w:pPr>
        <w:pStyle w:val="sideheading"/>
      </w:pPr>
      <w:r>
        <w:t>References:</w:t>
      </w:r>
    </w:p>
    <w:p w:rsidR="004E6CFE" w:rsidRDefault="00E17F32" w:rsidP="004E6CFE">
      <w:pPr>
        <w:pStyle w:val="Reference"/>
      </w:pPr>
      <w:hyperlink r:id="rId6" w:history="1">
        <w:r w:rsidR="0056224C">
          <w:rPr>
            <w:rStyle w:val="Hyperlink"/>
          </w:rPr>
          <w:t>KRS 158.140</w:t>
        </w:r>
      </w:hyperlink>
      <w:r w:rsidR="004E6CFE">
        <w:t>;</w:t>
      </w:r>
      <w:r w:rsidR="004E6CFE" w:rsidRPr="0085441B">
        <w:t xml:space="preserve"> </w:t>
      </w:r>
      <w:hyperlink r:id="rId7" w:history="1">
        <w:r w:rsidR="0056224C">
          <w:rPr>
            <w:rStyle w:val="Hyperlink"/>
          </w:rPr>
          <w:t>KRS 158.645</w:t>
        </w:r>
      </w:hyperlink>
      <w:r w:rsidR="004E6CFE">
        <w:t xml:space="preserve">; </w:t>
      </w:r>
      <w:hyperlink r:id="rId8" w:history="1">
        <w:r w:rsidR="0056224C">
          <w:rPr>
            <w:rStyle w:val="Hyperlink"/>
          </w:rPr>
          <w:t>KRS 158.6451</w:t>
        </w:r>
      </w:hyperlink>
      <w:r w:rsidR="004E6CFE">
        <w:t xml:space="preserve">; </w:t>
      </w:r>
      <w:hyperlink r:id="rId9" w:history="1">
        <w:r w:rsidR="0056224C">
          <w:rPr>
            <w:rStyle w:val="Hyperlink"/>
          </w:rPr>
          <w:t>KRS 158.860</w:t>
        </w:r>
      </w:hyperlink>
    </w:p>
    <w:p w:rsidR="004E6CFE" w:rsidRDefault="00E17F32" w:rsidP="004E6CFE">
      <w:pPr>
        <w:pStyle w:val="Reference"/>
      </w:pPr>
      <w:hyperlink r:id="rId10" w:history="1">
        <w:r w:rsidR="0056224C">
          <w:rPr>
            <w:rStyle w:val="Hyperlink"/>
          </w:rPr>
          <w:t>KRS 160.345</w:t>
        </w:r>
      </w:hyperlink>
      <w:r w:rsidR="004E6CFE">
        <w:t xml:space="preserve">; </w:t>
      </w:r>
      <w:hyperlink r:id="rId11" w:history="1">
        <w:r w:rsidR="0056224C">
          <w:rPr>
            <w:rStyle w:val="Hyperlink"/>
          </w:rPr>
          <w:t>KRS 161.200</w:t>
        </w:r>
      </w:hyperlink>
      <w:r w:rsidR="004E6CFE">
        <w:t xml:space="preserve">; </w:t>
      </w:r>
      <w:hyperlink r:id="rId12" w:history="1">
        <w:r w:rsidR="0056224C">
          <w:rPr>
            <w:rStyle w:val="Hyperlink"/>
          </w:rPr>
          <w:t>703 KAR 005:200</w:t>
        </w:r>
      </w:hyperlink>
    </w:p>
    <w:p w:rsidR="004E6CFE" w:rsidRDefault="004E6CFE" w:rsidP="00C41A23">
      <w:pPr>
        <w:pStyle w:val="relatedsideheading"/>
        <w:spacing w:before="0"/>
      </w:pPr>
      <w:r>
        <w:t xml:space="preserve">Related Policies: </w:t>
      </w:r>
    </w:p>
    <w:p w:rsidR="004E6CFE" w:rsidRDefault="004E6CFE" w:rsidP="004E6CFE">
      <w:pPr>
        <w:pStyle w:val="Reference"/>
      </w:pPr>
      <w:r w:rsidRPr="0060541C">
        <w:t>02.441</w:t>
      </w:r>
      <w:r w:rsidRPr="006C4D79">
        <w:t xml:space="preserve">; </w:t>
      </w:r>
      <w:r w:rsidRPr="0056224C">
        <w:rPr>
          <w:rStyle w:val="ksbanormal"/>
        </w:rPr>
        <w:t>08.113; 08.22</w:t>
      </w:r>
      <w:r w:rsidRPr="006C4D79">
        <w:t>;</w:t>
      </w:r>
      <w:r w:rsidRPr="0060541C">
        <w:rPr>
          <w:rStyle w:val="ksbanormal"/>
          <w:b/>
        </w:rPr>
        <w:t xml:space="preserve"> </w:t>
      </w:r>
      <w:r w:rsidRPr="0060541C">
        <w:t>08.222; 08.5</w:t>
      </w:r>
    </w:p>
    <w:p w:rsidR="000739BF" w:rsidRDefault="0056224C" w:rsidP="00F23CDA">
      <w:pPr>
        <w:pStyle w:val="policytextright"/>
      </w:pPr>
      <w:r>
        <w:t>Adopted/Amended: 12/20/2017</w:t>
      </w:r>
    </w:p>
    <w:p w:rsidR="004102B2" w:rsidRPr="004E6CFE" w:rsidRDefault="0056224C" w:rsidP="00F23CDA">
      <w:pPr>
        <w:pStyle w:val="policytextright"/>
      </w:pPr>
      <w:r>
        <w:t>Order #:         17760 (G)</w:t>
      </w:r>
    </w:p>
    <w:sectPr w:rsidR="004102B2" w:rsidRPr="004E6CFE" w:rsidSect="00274B29">
      <w:footerReference w:type="default" r:id="rId13"/>
      <w:type w:val="continuous"/>
      <w:pgSz w:w="12240" w:h="15840" w:code="1"/>
      <w:pgMar w:top="864" w:right="1080" w:bottom="720" w:left="1728" w:header="0" w:footer="43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F32" w:rsidRDefault="00E17F32">
      <w:r>
        <w:separator/>
      </w:r>
    </w:p>
  </w:endnote>
  <w:endnote w:type="continuationSeparator" w:id="0">
    <w:p w:rsidR="00E17F32" w:rsidRDefault="00E1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88" w:rsidRDefault="00885488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224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56224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F32" w:rsidRDefault="00E17F32">
      <w:r>
        <w:separator/>
      </w:r>
    </w:p>
  </w:footnote>
  <w:footnote w:type="continuationSeparator" w:id="0">
    <w:p w:rsidR="00E17F32" w:rsidRDefault="00E1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1B"/>
    <w:rsid w:val="00020F12"/>
    <w:rsid w:val="000739BF"/>
    <w:rsid w:val="0007623C"/>
    <w:rsid w:val="000A4AE0"/>
    <w:rsid w:val="000B33F6"/>
    <w:rsid w:val="000D0ACD"/>
    <w:rsid w:val="000D79DD"/>
    <w:rsid w:val="0014341F"/>
    <w:rsid w:val="0016468A"/>
    <w:rsid w:val="002725DC"/>
    <w:rsid w:val="00274B29"/>
    <w:rsid w:val="00297D0E"/>
    <w:rsid w:val="00297D81"/>
    <w:rsid w:val="002C3B98"/>
    <w:rsid w:val="003026D9"/>
    <w:rsid w:val="00306F5F"/>
    <w:rsid w:val="00337D86"/>
    <w:rsid w:val="004102B2"/>
    <w:rsid w:val="004E6CFE"/>
    <w:rsid w:val="00507C56"/>
    <w:rsid w:val="00517AE7"/>
    <w:rsid w:val="0056224C"/>
    <w:rsid w:val="0058365C"/>
    <w:rsid w:val="005A4AEC"/>
    <w:rsid w:val="005B75DA"/>
    <w:rsid w:val="005E2EE0"/>
    <w:rsid w:val="005E677C"/>
    <w:rsid w:val="005F08B4"/>
    <w:rsid w:val="00694F7A"/>
    <w:rsid w:val="006C4D79"/>
    <w:rsid w:val="007127F0"/>
    <w:rsid w:val="00720624"/>
    <w:rsid w:val="00774CEA"/>
    <w:rsid w:val="007B56CF"/>
    <w:rsid w:val="007C6CC3"/>
    <w:rsid w:val="00804675"/>
    <w:rsid w:val="008467E0"/>
    <w:rsid w:val="0085441B"/>
    <w:rsid w:val="00885488"/>
    <w:rsid w:val="008D10EA"/>
    <w:rsid w:val="008D63EB"/>
    <w:rsid w:val="009D316D"/>
    <w:rsid w:val="00A069DF"/>
    <w:rsid w:val="00A618F5"/>
    <w:rsid w:val="00AF30B8"/>
    <w:rsid w:val="00BC6EB8"/>
    <w:rsid w:val="00C41A23"/>
    <w:rsid w:val="00C46237"/>
    <w:rsid w:val="00CD55E9"/>
    <w:rsid w:val="00CE4444"/>
    <w:rsid w:val="00D6010F"/>
    <w:rsid w:val="00E01DC2"/>
    <w:rsid w:val="00E17F32"/>
    <w:rsid w:val="00E56066"/>
    <w:rsid w:val="00E90499"/>
    <w:rsid w:val="00F23CDA"/>
    <w:rsid w:val="00F314EB"/>
    <w:rsid w:val="00F934D6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BE2B451"/>
  <w15:chartTrackingRefBased/>
  <w15:docId w15:val="{27F96AA3-4AE5-42D8-BB86-D5D2EFF1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3CD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F23CDA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F23CDA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link w:val="policytextChar"/>
    <w:rsid w:val="00F23C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F23CDA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link w:val="sideheadingChar"/>
    <w:rsid w:val="00F23CDA"/>
    <w:rPr>
      <w:b/>
      <w:smallCaps/>
    </w:rPr>
  </w:style>
  <w:style w:type="paragraph" w:customStyle="1" w:styleId="indent1">
    <w:name w:val="indent1"/>
    <w:basedOn w:val="policytext"/>
    <w:rsid w:val="00F23CDA"/>
    <w:pPr>
      <w:ind w:left="432"/>
    </w:pPr>
  </w:style>
  <w:style w:type="character" w:customStyle="1" w:styleId="ksbabold">
    <w:name w:val="ksba bold"/>
    <w:rsid w:val="00F23CDA"/>
    <w:rPr>
      <w:rFonts w:ascii="Times New Roman" w:hAnsi="Times New Roman"/>
      <w:b/>
      <w:sz w:val="24"/>
    </w:rPr>
  </w:style>
  <w:style w:type="character" w:customStyle="1" w:styleId="ksbanormal">
    <w:name w:val="ksba normal"/>
    <w:rsid w:val="00F23CDA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F23CDA"/>
    <w:pPr>
      <w:ind w:left="936" w:hanging="360"/>
    </w:pPr>
  </w:style>
  <w:style w:type="paragraph" w:customStyle="1" w:styleId="Listabc">
    <w:name w:val="Listabc"/>
    <w:basedOn w:val="policytext"/>
    <w:rsid w:val="00F23CDA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F23CDA"/>
    <w:pPr>
      <w:spacing w:after="0"/>
      <w:ind w:left="432"/>
    </w:pPr>
  </w:style>
  <w:style w:type="paragraph" w:customStyle="1" w:styleId="EndHeading">
    <w:name w:val="EndHeading"/>
    <w:basedOn w:val="sideheading"/>
    <w:rsid w:val="00F23CDA"/>
    <w:pPr>
      <w:spacing w:before="120"/>
    </w:pPr>
  </w:style>
  <w:style w:type="paragraph" w:customStyle="1" w:styleId="relatedsideheading">
    <w:name w:val="related sideheading"/>
    <w:basedOn w:val="sideheading"/>
    <w:rsid w:val="00F23CDA"/>
    <w:pPr>
      <w:spacing w:before="120"/>
    </w:pPr>
  </w:style>
  <w:style w:type="paragraph" w:styleId="MacroText">
    <w:name w:val="macro"/>
    <w:semiHidden/>
    <w:rsid w:val="00F23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F23CDA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F23CDA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D0AC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extChar">
    <w:name w:val="policytext Char"/>
    <w:link w:val="policytext"/>
    <w:rsid w:val="004E6CFE"/>
    <w:rPr>
      <w:sz w:val="24"/>
    </w:rPr>
  </w:style>
  <w:style w:type="character" w:customStyle="1" w:styleId="sideheadingChar">
    <w:name w:val="sideheading Char"/>
    <w:link w:val="sideheading"/>
    <w:rsid w:val="004E6CFE"/>
    <w:rPr>
      <w:b/>
      <w:smallCaps/>
      <w:sz w:val="24"/>
    </w:rPr>
  </w:style>
  <w:style w:type="paragraph" w:customStyle="1" w:styleId="expnote">
    <w:name w:val="expnote"/>
    <w:basedOn w:val="Heading1"/>
    <w:rsid w:val="00F23CDA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F23CDA"/>
    <w:pPr>
      <w:spacing w:after="0"/>
      <w:jc w:val="right"/>
    </w:pPr>
  </w:style>
  <w:style w:type="character" w:styleId="Hyperlink">
    <w:name w:val="Hyperlink"/>
    <w:basedOn w:val="DefaultParagraphFont"/>
    <w:rsid w:val="00562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2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58-00/6451.pdf&amp;requesttype=kr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olicy.ksba.org//DocumentManager.aspx?requestarticle=/KRS/158-00/645.pdf&amp;requesttype=krs" TargetMode="External"/><Relationship Id="rId12" Type="http://schemas.openxmlformats.org/officeDocument/2006/relationships/hyperlink" Target="http://policy.ksba.org//documentmanager.aspx?requestarticle=/kar/703/005/200.htm&amp;requesttype=k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icy.ksba.org//DocumentManager.aspx?requestarticle=/KRS/158-00/140.pdf&amp;requesttype=krs" TargetMode="External"/><Relationship Id="rId11" Type="http://schemas.openxmlformats.org/officeDocument/2006/relationships/hyperlink" Target="http://policy.ksba.org//DocumentManager.aspx?requestarticle=/KRS/161-00/200.pdf&amp;requesttype=kr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policy.ksba.org//DocumentManager.aspx?requestarticle=/KRS/160-00/345.pdf&amp;requesttype=k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olicy.ksba.org//DocumentManager.aspx?requestarticle=/KRS/158-00/860.pdf&amp;requesttype=k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~1.HAL\AppData\Local\Temp\oa\APOLICYTEM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APOLICYTEMP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08.221</vt:lpstr>
    </vt:vector>
  </TitlesOfParts>
  <Company>KSBA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08.221</dc:title>
  <dc:subject/>
  <dc:creator>KSBA</dc:creator>
  <cp:keywords/>
  <cp:lastModifiedBy>Gocking, Nora</cp:lastModifiedBy>
  <cp:revision>3</cp:revision>
  <cp:lastPrinted>2016-07-05T17:43:00Z</cp:lastPrinted>
  <dcterms:created xsi:type="dcterms:W3CDTF">2024-06-06T18:18:00Z</dcterms:created>
  <dcterms:modified xsi:type="dcterms:W3CDTF">2024-06-06T18:18:00Z</dcterms:modified>
</cp:coreProperties>
</file>