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6/13/2024</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Learning Support Services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Instructure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Mastery Connect &amp; MVPA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7/15/2024 – 6/30/2026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sz w:val="22"/>
          <w:szCs w:val="22"/>
        </w:rPr>
      </w:pPr>
      <w:r w:rsidDel="00000000" w:rsidR="00000000" w:rsidRPr="00000000">
        <w:rPr>
          <w:rFonts w:ascii="Calibri" w:cs="Calibri" w:eastAsia="Calibri" w:hAnsi="Calibri"/>
          <w:color w:val="000000"/>
          <w:sz w:val="22"/>
          <w:szCs w:val="22"/>
          <w:rtl w:val="0"/>
        </w:rPr>
        <w:t xml:space="preserve">1B Boone County Schools will ensure all students will receive rigorous and engaging instruction via a guaranteed and viable curriculum in every classroom, every day: 3) Implement a Multi-Tiered System of Supports (MTSS) that meets the learning needs of struggling learners.</w:t>
      </w:r>
      <w:r w:rsidDel="00000000" w:rsidR="00000000" w:rsidRPr="00000000">
        <w:rPr>
          <w:color w:val="000000"/>
          <w:sz w:val="22"/>
          <w:szCs w:val="22"/>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Mastery View Predictive Assessments (MVPA) serve as the district’s interim assessments which measure students’ proficiency levels of the Kentucky Academic Standards. MVPA is delivered through the Mastery Connect online platform, which mirrors the state assessment for students. Educators receive results instantly through the Mastery Tracker which includes actionable data for teachers. It helps teachers determine what students know and don’t know so they can plan instructional next steps accordingly. This tool helps to inform all tiers of the MTSS framework and meet the academic needs of all learners (</w:t>
      </w:r>
      <w:r w:rsidDel="00000000" w:rsidR="00000000" w:rsidRPr="00000000">
        <w:rPr>
          <w:rFonts w:ascii="Calibri" w:cs="Calibri" w:eastAsia="Calibri" w:hAnsi="Calibri"/>
          <w:color w:val="000000"/>
          <w:sz w:val="22"/>
          <w:szCs w:val="22"/>
          <w:rtl w:val="0"/>
        </w:rPr>
        <w:t xml:space="preserve">Strategic Plan Goal 1B-3</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$571,196.20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ESSER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recommend the Board approve this contract between Instructure and Boone County Schools as presented.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 Jim Detwiler, Deputy Superintendent / CAO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Jenny Watson, Assistant Superintendent &amp; Tara Drysdale, Assistant Superintendent</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-104772</wp:posOffset>
          </wp:positionV>
          <wp:extent cx="2566670" cy="80010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 Board Chair </w:t>
      <w:tab/>
      <w:tab/>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Dr. Maria Brown, Vice Chair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Mr. Matthew Turner, Superintendent</w:t>
    </w:r>
    <w:r w:rsidDel="00000000" w:rsidR="00000000" w:rsidRPr="00000000">
      <w:rPr>
        <w:rtl w:val="0"/>
      </w:rPr>
    </w:r>
  </w:p>
  <w:p w:rsidR="00000000" w:rsidDel="00000000" w:rsidP="00000000" w:rsidRDefault="00000000" w:rsidRPr="00000000" w14:paraId="0000002D">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38100</wp:posOffset>
              </wp:positionV>
              <wp:extent cx="7302500" cy="22225"/>
              <wp:effectExtent b="0" l="0" r="0" t="0"/>
              <wp:wrapNone/>
              <wp:docPr id="3"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38100</wp:posOffset>
              </wp:positionV>
              <wp:extent cx="7302500" cy="22225"/>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302500" cy="22225"/>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KvmJuR6Tj1GzajtpY7ofXQoTQ==">CgMxLjA4AHIhMVlfREs1OXQ1Ui00U2ZMa3NIZzQ0a0Z0OTI1N0JzRHN4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