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C7ECE" w:rsidRDefault="0087740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Transition Coordinator Notes for February Board Meeting</w:t>
      </w:r>
    </w:p>
    <w:p w14:paraId="00000002" w14:textId="77777777" w:rsidR="00CC7ECE" w:rsidRDefault="008774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47 Students are enrolled in the Spring Semester of Gateway</w:t>
      </w:r>
    </w:p>
    <w:p w14:paraId="00000003" w14:textId="77777777" w:rsidR="00CC7ECE" w:rsidRDefault="008774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On Jan 25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, six families attended an information session for students to participate in dual credit opportunities as sophomores.  An additional two families expressed interest outside of the meeting.  </w:t>
      </w:r>
    </w:p>
    <w:p w14:paraId="00000004" w14:textId="77777777" w:rsidR="00CC7ECE" w:rsidRDefault="008774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am meeting with all the sophomore students during FLEX time to</w:t>
      </w:r>
      <w:r>
        <w:rPr>
          <w:color w:val="000000"/>
          <w:sz w:val="24"/>
          <w:szCs w:val="24"/>
        </w:rPr>
        <w:t xml:space="preserve"> discuss their academic options for next year; dual credit or the ATC.</w:t>
      </w:r>
    </w:p>
    <w:p w14:paraId="00000005" w14:textId="77777777" w:rsidR="00CC7ECE" w:rsidRDefault="008774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34 students qualify for dual credit at Gateway or ATC</w:t>
      </w:r>
    </w:p>
    <w:p w14:paraId="00000006" w14:textId="77777777" w:rsidR="00CC7ECE" w:rsidRDefault="008774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 qualify for just the ATC</w:t>
      </w:r>
    </w:p>
    <w:p w14:paraId="00000007" w14:textId="77777777" w:rsidR="00CC7ECE" w:rsidRDefault="008774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Friday, Feb 1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sophomores interested in the ATC will have the ability to tour the facility and me</w:t>
      </w:r>
      <w:r>
        <w:rPr>
          <w:color w:val="000000"/>
          <w:sz w:val="24"/>
          <w:szCs w:val="24"/>
        </w:rPr>
        <w:t>et with the principal and staff.</w:t>
      </w:r>
    </w:p>
    <w:p w14:paraId="00000008" w14:textId="77777777" w:rsidR="00CC7ECE" w:rsidRDefault="008774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Friday, Feb 23</w:t>
      </w:r>
      <w:r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, the senior class will participate in Mock Interviews.  This is a collaborative effort with the Haile College of Business at NKU.  To prepare for the interviews Mr. Harvey will use two ENGAGE periods to </w:t>
      </w:r>
      <w:r>
        <w:rPr>
          <w:color w:val="000000"/>
          <w:sz w:val="24"/>
          <w:szCs w:val="24"/>
        </w:rPr>
        <w:t xml:space="preserve">deliver interview skills and tips to the seniors. </w:t>
      </w:r>
    </w:p>
    <w:p w14:paraId="00000009" w14:textId="77777777" w:rsidR="00CC7ECE" w:rsidRDefault="008774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Joint Career Fair with Dayton, Ludlow, Newport and Bellevue will be on Tuesday, March 19th at Ben Flora Gym.  Each school will have designated visit times.  Bellevue will visit from 2:15-3:00.</w:t>
      </w:r>
    </w:p>
    <w:p w14:paraId="0000000A" w14:textId="77777777" w:rsidR="00CC7ECE" w:rsidRDefault="008774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Seniors have been booked daily during FLEX to discuss </w:t>
      </w:r>
      <w:proofErr w:type="spellStart"/>
      <w:r>
        <w:rPr>
          <w:color w:val="000000"/>
          <w:sz w:val="24"/>
          <w:szCs w:val="24"/>
        </w:rPr>
        <w:t>PoG</w:t>
      </w:r>
      <w:proofErr w:type="spellEnd"/>
      <w:r>
        <w:rPr>
          <w:color w:val="000000"/>
          <w:sz w:val="24"/>
          <w:szCs w:val="24"/>
        </w:rPr>
        <w:t xml:space="preserve"> presentations. </w:t>
      </w:r>
    </w:p>
    <w:p w14:paraId="0000000B" w14:textId="77777777" w:rsidR="00CC7ECE" w:rsidRDefault="00877400">
      <w:pPr>
        <w:rPr>
          <w:sz w:val="24"/>
          <w:szCs w:val="24"/>
        </w:rPr>
      </w:pPr>
      <w:r>
        <w:rPr>
          <w:sz w:val="24"/>
          <w:szCs w:val="24"/>
        </w:rPr>
        <w:t>The following trips have been scheduled for the Spring:</w:t>
      </w:r>
    </w:p>
    <w:p w14:paraId="0000000C" w14:textId="77777777" w:rsidR="00CC7ECE" w:rsidRDefault="00877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3/4      9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to Louisville</w:t>
      </w:r>
    </w:p>
    <w:p w14:paraId="0000000D" w14:textId="77777777" w:rsidR="00CC7ECE" w:rsidRDefault="00877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3/5      10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to U.K.</w:t>
      </w:r>
    </w:p>
    <w:p w14:paraId="0000000E" w14:textId="77777777" w:rsidR="00CC7ECE" w:rsidRDefault="00877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3/6      Select 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to Junior Achievement</w:t>
      </w:r>
    </w:p>
    <w:p w14:paraId="0000000F" w14:textId="77777777" w:rsidR="00CC7ECE" w:rsidRDefault="00877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3/7      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</w:t>
      </w:r>
      <w:r>
        <w:rPr>
          <w:color w:val="000000"/>
          <w:sz w:val="24"/>
          <w:szCs w:val="24"/>
        </w:rPr>
        <w:t xml:space="preserve">e to Cincinnati St. </w:t>
      </w:r>
    </w:p>
    <w:p w14:paraId="00000010" w14:textId="77777777" w:rsidR="00CC7ECE" w:rsidRDefault="00CC7ECE"/>
    <w:sectPr w:rsidR="00CC7E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7AA7"/>
    <w:multiLevelType w:val="multilevel"/>
    <w:tmpl w:val="559EF5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300000"/>
    <w:multiLevelType w:val="multilevel"/>
    <w:tmpl w:val="76285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9D0FFE"/>
    <w:multiLevelType w:val="multilevel"/>
    <w:tmpl w:val="76A2B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CE"/>
    <w:rsid w:val="00877400"/>
    <w:rsid w:val="00C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6AFC6-2963-4D47-A6A5-D7F01998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3D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E23D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eNmwPzFcLyOf4hnvNxx5vTW5YA==">CgMxLjAyCGguZ2pkZ3hzOAByITFnTV9QTFpxejBqN1o1OVNzU2h5UDI0Vl9SRVZBWU9nYg==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BADC146-0205-454F-95A0-2E0E5C024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601CF-E45C-4893-8000-9F641EAAB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0AFA8-E0B2-48C0-B0E8-E19620A2694B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94627f6b-45aa-4f11-bbeb-ed36269822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Pelgen, Dave</dc:creator>
  <cp:lastModifiedBy>Fardo, Renee</cp:lastModifiedBy>
  <cp:revision>2</cp:revision>
  <cp:lastPrinted>2024-02-15T20:53:00Z</cp:lastPrinted>
  <dcterms:created xsi:type="dcterms:W3CDTF">2024-02-15T20:54:00Z</dcterms:created>
  <dcterms:modified xsi:type="dcterms:W3CDTF">2024-02-15T20:54:00Z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