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76235" w14:textId="2DB7D0CA" w:rsidR="008573ED" w:rsidRDefault="00C1425D" w:rsidP="00C1425D">
      <w:pPr>
        <w:spacing w:after="120"/>
        <w:jc w:val="center"/>
        <w:rPr>
          <w:b/>
          <w:sz w:val="44"/>
          <w:szCs w:val="44"/>
        </w:rPr>
      </w:pPr>
      <w:r>
        <w:rPr>
          <w:b/>
          <w:sz w:val="44"/>
          <w:szCs w:val="44"/>
        </w:rPr>
        <w:t xml:space="preserve">SBDM COUNCIL REPORT </w:t>
      </w:r>
      <w:r>
        <w:rPr>
          <w:b/>
          <w:sz w:val="44"/>
          <w:szCs w:val="44"/>
        </w:rPr>
        <w:t>2023-2024</w:t>
      </w:r>
    </w:p>
    <w:p w14:paraId="2AB76236" w14:textId="2DA9C8BD" w:rsidR="008573ED" w:rsidRDefault="00C1425D" w:rsidP="00C1425D">
      <w:pPr>
        <w:spacing w:after="120" w:line="240" w:lineRule="auto"/>
        <w:ind w:left="360" w:hanging="360"/>
      </w:pPr>
      <w:r>
        <w:rPr>
          <w:b/>
        </w:rPr>
        <w:t>School</w:t>
      </w:r>
      <w:r>
        <w:t xml:space="preserve">: </w:t>
      </w:r>
      <w:r>
        <w:t>East Oldham Middle School</w:t>
      </w:r>
    </w:p>
    <w:p w14:paraId="27DFA6B9" w14:textId="77777777" w:rsidR="00C1425D" w:rsidRDefault="00C1425D" w:rsidP="00C1425D">
      <w:pPr>
        <w:spacing w:after="120" w:line="240" w:lineRule="auto"/>
        <w:ind w:left="360" w:hanging="360"/>
        <w:rPr>
          <w:b/>
        </w:rPr>
      </w:pPr>
      <w:r>
        <w:rPr>
          <w:b/>
        </w:rPr>
        <w:t>SBDM Council Members</w:t>
      </w:r>
    </w:p>
    <w:p w14:paraId="42E83080" w14:textId="4B78A00C" w:rsidR="00C1425D" w:rsidRDefault="00C1425D" w:rsidP="00C1425D">
      <w:pPr>
        <w:pStyle w:val="ListParagraph"/>
        <w:numPr>
          <w:ilvl w:val="0"/>
          <w:numId w:val="2"/>
        </w:numPr>
        <w:spacing w:after="120" w:line="240" w:lineRule="auto"/>
      </w:pPr>
      <w:r>
        <w:t>Parents:  Michele Dawson, Andy Moore</w:t>
      </w:r>
    </w:p>
    <w:p w14:paraId="56C7363E" w14:textId="39A008A6" w:rsidR="00C1425D" w:rsidRDefault="00C1425D" w:rsidP="00C1425D">
      <w:pPr>
        <w:pStyle w:val="ListParagraph"/>
        <w:numPr>
          <w:ilvl w:val="0"/>
          <w:numId w:val="2"/>
        </w:numPr>
        <w:spacing w:after="120" w:line="240" w:lineRule="auto"/>
      </w:pPr>
      <w:r>
        <w:t>Teachers:  Lucinda Alvarado, Ashley Trippett, Kari Wilson</w:t>
      </w:r>
    </w:p>
    <w:p w14:paraId="2AB76237" w14:textId="79A1FF2C" w:rsidR="008573ED" w:rsidRDefault="00C1425D" w:rsidP="00C1425D">
      <w:pPr>
        <w:pStyle w:val="ListParagraph"/>
        <w:numPr>
          <w:ilvl w:val="0"/>
          <w:numId w:val="2"/>
        </w:numPr>
        <w:spacing w:after="120" w:line="240" w:lineRule="auto"/>
      </w:pPr>
      <w:r>
        <w:t>Chair:  Michelle Willhite</w:t>
      </w:r>
    </w:p>
    <w:p w14:paraId="2AB76238" w14:textId="2F395748" w:rsidR="008573ED" w:rsidRDefault="00C1425D" w:rsidP="00C1425D">
      <w:pPr>
        <w:spacing w:after="120" w:line="240" w:lineRule="auto"/>
        <w:ind w:left="360" w:hanging="360"/>
        <w:rPr>
          <w:i/>
        </w:rPr>
      </w:pPr>
      <w:r>
        <w:rPr>
          <w:b/>
        </w:rPr>
        <w:t>D</w:t>
      </w:r>
      <w:r>
        <w:rPr>
          <w:b/>
        </w:rPr>
        <w:t>ate of Presentation to the Board</w:t>
      </w:r>
      <w:r>
        <w:t>: February 6, 2024</w:t>
      </w:r>
    </w:p>
    <w:p w14:paraId="2AB76239" w14:textId="77777777" w:rsidR="008573ED" w:rsidRPr="00C1425D" w:rsidRDefault="00C1425D" w:rsidP="00C1425D">
      <w:pPr>
        <w:numPr>
          <w:ilvl w:val="0"/>
          <w:numId w:val="1"/>
        </w:numPr>
        <w:pBdr>
          <w:top w:val="nil"/>
          <w:left w:val="nil"/>
          <w:bottom w:val="nil"/>
          <w:right w:val="nil"/>
          <w:between w:val="nil"/>
        </w:pBdr>
        <w:spacing w:after="120" w:line="240" w:lineRule="auto"/>
        <w:ind w:left="360"/>
        <w:rPr>
          <w:b/>
          <w:bCs/>
          <w:color w:val="0070C0"/>
        </w:rPr>
      </w:pPr>
      <w:r w:rsidRPr="00C1425D">
        <w:rPr>
          <w:b/>
          <w:bCs/>
          <w:color w:val="0070C0"/>
        </w:rPr>
        <w:t>Discuss the work you are doing in your building around core instruction. What would you like to highlight that is working well in your building?</w:t>
      </w:r>
      <w:r w:rsidRPr="00C1425D">
        <w:rPr>
          <w:b/>
          <w:bCs/>
          <w:color w:val="0070C0"/>
        </w:rPr>
        <w:t xml:space="preserve"> How are these efforts impacting </w:t>
      </w:r>
      <w:r w:rsidRPr="00C1425D">
        <w:rPr>
          <w:b/>
          <w:bCs/>
          <w:color w:val="0070C0"/>
        </w:rPr>
        <w:t>student</w:t>
      </w:r>
      <w:r w:rsidRPr="00C1425D">
        <w:rPr>
          <w:b/>
          <w:bCs/>
          <w:color w:val="0070C0"/>
        </w:rPr>
        <w:t xml:space="preserve"> groups experiencing the achievement gap</w:t>
      </w:r>
      <w:r w:rsidRPr="00C1425D">
        <w:rPr>
          <w:b/>
          <w:bCs/>
          <w:color w:val="0070C0"/>
        </w:rPr>
        <w:t xml:space="preserve">? All students? </w:t>
      </w:r>
    </w:p>
    <w:p w14:paraId="2AB7623A" w14:textId="028276C0" w:rsidR="008573ED" w:rsidRDefault="00C1425D" w:rsidP="00C1425D">
      <w:pPr>
        <w:spacing w:after="120" w:line="240" w:lineRule="auto"/>
      </w:pPr>
      <w:r>
        <w:t xml:space="preserve">Within our Professional Learning Community, we have teams of teachers who are committed to the process of meeting weekly as a collaborative team (CT) to look at pre-assessments to guide instruction and then common formative assessments to analyze student learning. They also closely work with our special education teachers to ensure that we accurately assess struggling students’ mastery with various accommodations, etc. Our CTs work with our instructional coach </w:t>
      </w:r>
      <w:proofErr w:type="gramStart"/>
      <w:r>
        <w:t>in order to</w:t>
      </w:r>
      <w:proofErr w:type="gramEnd"/>
      <w:r>
        <w:t xml:space="preserve"> plan and implement instruction with Best Practice strategies in mind. This promotes</w:t>
      </w:r>
      <w:r>
        <w:t xml:space="preserve"> the culture of continued growth among students and teachers.</w:t>
      </w:r>
    </w:p>
    <w:p w14:paraId="2AB7623B" w14:textId="77777777" w:rsidR="008573ED" w:rsidRDefault="00C1425D" w:rsidP="00C1425D">
      <w:pPr>
        <w:spacing w:after="120" w:line="240" w:lineRule="auto"/>
      </w:pPr>
      <w:r>
        <w:t>Another way we are working to grow a culture of learning is through Deeper Learning (DL). There are 6 competencies which make up DL:  Academic Mastery, Critical Thinking and Problem Solving, Collaboration, Effective Communication, Self-directed Learning, and Academic Mindset. Our school was fortunate to be able to give 12 professional development hours towards DL and because of that, our staff has each chosen one of the competencies that they are working to enhance in their core classrooms. DL has a focus t</w:t>
      </w:r>
      <w:r>
        <w:t>hat hits the three pillars of the Instructional Core (teacher expertise, student role, and rigor of task) so it is building on the work we have done over the past few years. It also builds on the several years of work with our CTs surrounding the PLC process. We now can take the focus on questions 3 and 4 (What will we do if students haven’t learned the material? and What will we do if students already know the material?) to the classroom and weave instructional best practices through each of the DL compete</w:t>
      </w:r>
      <w:r>
        <w:t>ncies.</w:t>
      </w:r>
    </w:p>
    <w:p w14:paraId="2AB7623C" w14:textId="1F3D3151" w:rsidR="008573ED" w:rsidRDefault="00C1425D" w:rsidP="00C1425D">
      <w:pPr>
        <w:spacing w:after="120" w:line="240" w:lineRule="auto"/>
      </w:pPr>
      <w:r>
        <w:t>DL is an advantage for all students, especially those experiencing the achievement gap. They are learning about themselves as learners and paying attention to how they are taking in information in the classroom. They are also provided with</w:t>
      </w:r>
      <w:r>
        <w:t xml:space="preserve"> more opportunities to discuss their learning with their peers and work with a group towards a common goal. These are all experiences that push their learning and provide support for that challenge.</w:t>
      </w:r>
    </w:p>
    <w:p w14:paraId="2AB7623D" w14:textId="77777777" w:rsidR="008573ED" w:rsidRPr="00C1425D" w:rsidRDefault="00C1425D" w:rsidP="00C1425D">
      <w:pPr>
        <w:numPr>
          <w:ilvl w:val="0"/>
          <w:numId w:val="1"/>
        </w:numPr>
        <w:pBdr>
          <w:top w:val="nil"/>
          <w:left w:val="nil"/>
          <w:bottom w:val="nil"/>
          <w:right w:val="nil"/>
          <w:between w:val="nil"/>
        </w:pBdr>
        <w:spacing w:after="120" w:line="240" w:lineRule="auto"/>
        <w:ind w:left="360"/>
        <w:rPr>
          <w:b/>
          <w:bCs/>
          <w:color w:val="0070C0"/>
        </w:rPr>
      </w:pPr>
      <w:r w:rsidRPr="00C1425D">
        <w:rPr>
          <w:b/>
          <w:bCs/>
          <w:color w:val="0070C0"/>
        </w:rPr>
        <w:t xml:space="preserve">Based on the needs of your school, what priority areas have you identified? How will you work on these priority areas this year and how will you measure progress over time? </w:t>
      </w:r>
    </w:p>
    <w:p w14:paraId="619485E5" w14:textId="77777777" w:rsidR="00C1425D" w:rsidRDefault="00C1425D" w:rsidP="00C1425D">
      <w:pPr>
        <w:spacing w:after="120" w:line="240" w:lineRule="auto"/>
      </w:pPr>
      <w:r>
        <w:t>Our priority area continues to focus on our striving students,</w:t>
      </w:r>
      <w:r>
        <w:t xml:space="preserve"> including those with disabilities. We align Tier 2 instruction with the specific concepts’</w:t>
      </w:r>
      <w:r>
        <w:t xml:space="preserve"> students need to master in the classroom so we can maximize their growth. Tier 3 services are provided daily for students who are emergent in the foundational skills required to be ready to learn in their grade-level classroom. Our MTSS team meets weekly to discuss and review the progress of striving learners and reports back and forth with teachers regularly.  Our students in Tier 3 and some students in ECS (traditional resource students) are enrolled in READ/MATH 180 or System 44 where appropriate.  Thes</w:t>
      </w:r>
      <w:r>
        <w:t xml:space="preserve">e programs, in addition to collecting data on </w:t>
      </w:r>
    </w:p>
    <w:p w14:paraId="7A1B13AE" w14:textId="77777777" w:rsidR="00C1425D" w:rsidRDefault="00C1425D" w:rsidP="00C1425D">
      <w:pPr>
        <w:spacing w:after="120" w:line="240" w:lineRule="auto"/>
      </w:pPr>
    </w:p>
    <w:p w14:paraId="2AB7623E" w14:textId="19E17A3C" w:rsidR="008573ED" w:rsidRDefault="00C1425D" w:rsidP="00C1425D">
      <w:pPr>
        <w:spacing w:after="120" w:line="240" w:lineRule="auto"/>
      </w:pPr>
      <w:r>
        <w:t xml:space="preserve">specially designed instruction and monitoring i-Ready and classroom assessment results, allow us to track overall progress as well as progress on specific skills. </w:t>
      </w:r>
    </w:p>
    <w:p w14:paraId="2AB7623F" w14:textId="77777777" w:rsidR="008573ED" w:rsidRDefault="00C1425D" w:rsidP="00C1425D">
      <w:pPr>
        <w:spacing w:after="120" w:line="240" w:lineRule="auto"/>
      </w:pPr>
      <w:r>
        <w:t xml:space="preserve">With the changes in our master schedule, multiple teachers were tasked with helping our struggling students at Tier 3. </w:t>
      </w:r>
      <w:proofErr w:type="gramStart"/>
      <w:r>
        <w:t>Analyzing the results of our KSA and Fall i-Ready scores, it</w:t>
      </w:r>
      <w:proofErr w:type="gramEnd"/>
      <w:r>
        <w:t xml:space="preserve"> was clear that our most striving learners needed additional support. We devoted our Daytime ESS funds to hiring a part-time interventionist. </w:t>
      </w:r>
    </w:p>
    <w:p w14:paraId="2AB76240" w14:textId="77777777" w:rsidR="008573ED" w:rsidRDefault="00C1425D" w:rsidP="00C1425D">
      <w:pPr>
        <w:spacing w:after="120" w:line="240" w:lineRule="auto"/>
      </w:pPr>
      <w:r>
        <w:t>After administering i-Ready in the fall and winter, we looked at the Diagnostic Growth Report for Reading, specifically at our progress to Annual Typical Growth. While overall, we were alarmed at the 44% progress in reading and 33% in math (should be 50%-60%), we then began analyzing the data at each grade level and noticed the following:</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0"/>
        <w:gridCol w:w="3883"/>
        <w:gridCol w:w="3777"/>
      </w:tblGrid>
      <w:tr w:rsidR="008573ED" w14:paraId="2AB76244" w14:textId="77777777" w:rsidTr="00C1425D">
        <w:tc>
          <w:tcPr>
            <w:tcW w:w="1700" w:type="dxa"/>
            <w:shd w:val="clear" w:color="auto" w:fill="B8CCE4" w:themeFill="accent1" w:themeFillTint="66"/>
            <w:tcMar>
              <w:top w:w="100" w:type="dxa"/>
              <w:left w:w="100" w:type="dxa"/>
              <w:bottom w:w="100" w:type="dxa"/>
              <w:right w:w="100" w:type="dxa"/>
            </w:tcMar>
          </w:tcPr>
          <w:p w14:paraId="2AB76241" w14:textId="77777777" w:rsidR="008573ED" w:rsidRPr="00C1425D" w:rsidRDefault="00C1425D" w:rsidP="00C1425D">
            <w:pPr>
              <w:widowControl w:val="0"/>
              <w:spacing w:after="0" w:line="240" w:lineRule="auto"/>
              <w:jc w:val="center"/>
              <w:rPr>
                <w:b/>
                <w:sz w:val="24"/>
                <w:szCs w:val="24"/>
              </w:rPr>
            </w:pPr>
            <w:r w:rsidRPr="00C1425D">
              <w:rPr>
                <w:b/>
                <w:sz w:val="24"/>
                <w:szCs w:val="24"/>
              </w:rPr>
              <w:t>Grade Level</w:t>
            </w:r>
          </w:p>
        </w:tc>
        <w:tc>
          <w:tcPr>
            <w:tcW w:w="3883" w:type="dxa"/>
            <w:shd w:val="clear" w:color="auto" w:fill="B8CCE4" w:themeFill="accent1" w:themeFillTint="66"/>
            <w:tcMar>
              <w:top w:w="100" w:type="dxa"/>
              <w:left w:w="100" w:type="dxa"/>
              <w:bottom w:w="100" w:type="dxa"/>
              <w:right w:w="100" w:type="dxa"/>
            </w:tcMar>
          </w:tcPr>
          <w:p w14:paraId="2AB76242" w14:textId="77777777" w:rsidR="008573ED" w:rsidRPr="00C1425D" w:rsidRDefault="00C1425D" w:rsidP="00C1425D">
            <w:pPr>
              <w:widowControl w:val="0"/>
              <w:spacing w:after="0" w:line="240" w:lineRule="auto"/>
              <w:jc w:val="center"/>
              <w:rPr>
                <w:b/>
                <w:sz w:val="24"/>
                <w:szCs w:val="24"/>
              </w:rPr>
            </w:pPr>
            <w:r w:rsidRPr="00C1425D">
              <w:rPr>
                <w:b/>
                <w:sz w:val="24"/>
                <w:szCs w:val="24"/>
              </w:rPr>
              <w:t>Percent Progress toward Annual Typical Growth (Reading)</w:t>
            </w:r>
          </w:p>
        </w:tc>
        <w:tc>
          <w:tcPr>
            <w:tcW w:w="3777" w:type="dxa"/>
            <w:shd w:val="clear" w:color="auto" w:fill="B8CCE4" w:themeFill="accent1" w:themeFillTint="66"/>
            <w:tcMar>
              <w:top w:w="100" w:type="dxa"/>
              <w:left w:w="100" w:type="dxa"/>
              <w:bottom w:w="100" w:type="dxa"/>
              <w:right w:w="100" w:type="dxa"/>
            </w:tcMar>
          </w:tcPr>
          <w:p w14:paraId="2AB76243" w14:textId="77777777" w:rsidR="008573ED" w:rsidRPr="00C1425D" w:rsidRDefault="00C1425D" w:rsidP="00C1425D">
            <w:pPr>
              <w:widowControl w:val="0"/>
              <w:spacing w:after="0" w:line="240" w:lineRule="auto"/>
              <w:jc w:val="center"/>
              <w:rPr>
                <w:b/>
                <w:sz w:val="24"/>
                <w:szCs w:val="24"/>
              </w:rPr>
            </w:pPr>
            <w:r w:rsidRPr="00C1425D">
              <w:rPr>
                <w:b/>
                <w:sz w:val="24"/>
                <w:szCs w:val="24"/>
              </w:rPr>
              <w:t>Percent Progress toward Annual Typical Growth (Math)</w:t>
            </w:r>
          </w:p>
        </w:tc>
      </w:tr>
      <w:tr w:rsidR="008573ED" w14:paraId="2AB76248" w14:textId="77777777" w:rsidTr="00C1425D">
        <w:tc>
          <w:tcPr>
            <w:tcW w:w="1700" w:type="dxa"/>
            <w:shd w:val="clear" w:color="auto" w:fill="auto"/>
            <w:tcMar>
              <w:top w:w="100" w:type="dxa"/>
              <w:left w:w="100" w:type="dxa"/>
              <w:bottom w:w="100" w:type="dxa"/>
              <w:right w:w="100" w:type="dxa"/>
            </w:tcMar>
          </w:tcPr>
          <w:p w14:paraId="2AB76245" w14:textId="77777777" w:rsidR="008573ED" w:rsidRDefault="00C1425D" w:rsidP="00C1425D">
            <w:pPr>
              <w:widowControl w:val="0"/>
              <w:spacing w:after="0" w:line="240" w:lineRule="auto"/>
              <w:ind w:hanging="270"/>
              <w:jc w:val="center"/>
              <w:rPr>
                <w:sz w:val="24"/>
                <w:szCs w:val="24"/>
              </w:rPr>
            </w:pPr>
            <w:r>
              <w:rPr>
                <w:sz w:val="24"/>
                <w:szCs w:val="24"/>
              </w:rPr>
              <w:t>School wide</w:t>
            </w:r>
          </w:p>
        </w:tc>
        <w:tc>
          <w:tcPr>
            <w:tcW w:w="3883" w:type="dxa"/>
            <w:shd w:val="clear" w:color="auto" w:fill="auto"/>
            <w:tcMar>
              <w:top w:w="100" w:type="dxa"/>
              <w:left w:w="100" w:type="dxa"/>
              <w:bottom w:w="100" w:type="dxa"/>
              <w:right w:w="100" w:type="dxa"/>
            </w:tcMar>
          </w:tcPr>
          <w:p w14:paraId="2AB76246" w14:textId="77777777" w:rsidR="008573ED" w:rsidRDefault="00C1425D" w:rsidP="00C1425D">
            <w:pPr>
              <w:widowControl w:val="0"/>
              <w:spacing w:after="0" w:line="240" w:lineRule="auto"/>
              <w:jc w:val="center"/>
              <w:rPr>
                <w:sz w:val="24"/>
                <w:szCs w:val="24"/>
              </w:rPr>
            </w:pPr>
            <w:r>
              <w:rPr>
                <w:sz w:val="24"/>
                <w:szCs w:val="24"/>
              </w:rPr>
              <w:t>44%</w:t>
            </w:r>
          </w:p>
        </w:tc>
        <w:tc>
          <w:tcPr>
            <w:tcW w:w="3777" w:type="dxa"/>
            <w:shd w:val="clear" w:color="auto" w:fill="auto"/>
            <w:tcMar>
              <w:top w:w="100" w:type="dxa"/>
              <w:left w:w="100" w:type="dxa"/>
              <w:bottom w:w="100" w:type="dxa"/>
              <w:right w:w="100" w:type="dxa"/>
            </w:tcMar>
          </w:tcPr>
          <w:p w14:paraId="2AB76247" w14:textId="77777777" w:rsidR="008573ED" w:rsidRDefault="00C1425D" w:rsidP="00C1425D">
            <w:pPr>
              <w:widowControl w:val="0"/>
              <w:spacing w:after="0" w:line="240" w:lineRule="auto"/>
              <w:jc w:val="center"/>
              <w:rPr>
                <w:sz w:val="24"/>
                <w:szCs w:val="24"/>
              </w:rPr>
            </w:pPr>
            <w:r>
              <w:rPr>
                <w:sz w:val="24"/>
                <w:szCs w:val="24"/>
              </w:rPr>
              <w:t>33%</w:t>
            </w:r>
          </w:p>
        </w:tc>
      </w:tr>
      <w:tr w:rsidR="008573ED" w14:paraId="2AB7624C" w14:textId="77777777" w:rsidTr="00C1425D">
        <w:tc>
          <w:tcPr>
            <w:tcW w:w="1700" w:type="dxa"/>
            <w:shd w:val="clear" w:color="auto" w:fill="auto"/>
            <w:tcMar>
              <w:top w:w="100" w:type="dxa"/>
              <w:left w:w="100" w:type="dxa"/>
              <w:bottom w:w="100" w:type="dxa"/>
              <w:right w:w="100" w:type="dxa"/>
            </w:tcMar>
          </w:tcPr>
          <w:p w14:paraId="2AB76249" w14:textId="77777777" w:rsidR="008573ED" w:rsidRDefault="00C1425D" w:rsidP="00C1425D">
            <w:pPr>
              <w:widowControl w:val="0"/>
              <w:spacing w:after="0" w:line="240" w:lineRule="auto"/>
              <w:ind w:hanging="270"/>
              <w:jc w:val="center"/>
              <w:rPr>
                <w:sz w:val="24"/>
                <w:szCs w:val="24"/>
              </w:rPr>
            </w:pPr>
            <w:r>
              <w:rPr>
                <w:sz w:val="24"/>
                <w:szCs w:val="24"/>
              </w:rPr>
              <w:t>6th Grade</w:t>
            </w:r>
          </w:p>
        </w:tc>
        <w:tc>
          <w:tcPr>
            <w:tcW w:w="3883" w:type="dxa"/>
            <w:shd w:val="clear" w:color="auto" w:fill="auto"/>
            <w:tcMar>
              <w:top w:w="100" w:type="dxa"/>
              <w:left w:w="100" w:type="dxa"/>
              <w:bottom w:w="100" w:type="dxa"/>
              <w:right w:w="100" w:type="dxa"/>
            </w:tcMar>
          </w:tcPr>
          <w:p w14:paraId="2AB7624A" w14:textId="77777777" w:rsidR="008573ED" w:rsidRDefault="00C1425D" w:rsidP="00C1425D">
            <w:pPr>
              <w:widowControl w:val="0"/>
              <w:spacing w:after="0" w:line="240" w:lineRule="auto"/>
              <w:jc w:val="center"/>
              <w:rPr>
                <w:sz w:val="24"/>
                <w:szCs w:val="24"/>
              </w:rPr>
            </w:pPr>
            <w:r>
              <w:rPr>
                <w:sz w:val="24"/>
                <w:szCs w:val="24"/>
              </w:rPr>
              <w:t>14%</w:t>
            </w:r>
          </w:p>
        </w:tc>
        <w:tc>
          <w:tcPr>
            <w:tcW w:w="3777" w:type="dxa"/>
            <w:shd w:val="clear" w:color="auto" w:fill="auto"/>
            <w:tcMar>
              <w:top w:w="100" w:type="dxa"/>
              <w:left w:w="100" w:type="dxa"/>
              <w:bottom w:w="100" w:type="dxa"/>
              <w:right w:w="100" w:type="dxa"/>
            </w:tcMar>
          </w:tcPr>
          <w:p w14:paraId="2AB7624B" w14:textId="77777777" w:rsidR="008573ED" w:rsidRDefault="00C1425D" w:rsidP="00C1425D">
            <w:pPr>
              <w:widowControl w:val="0"/>
              <w:spacing w:after="0" w:line="240" w:lineRule="auto"/>
              <w:jc w:val="center"/>
              <w:rPr>
                <w:sz w:val="24"/>
                <w:szCs w:val="24"/>
              </w:rPr>
            </w:pPr>
            <w:r>
              <w:rPr>
                <w:sz w:val="24"/>
                <w:szCs w:val="24"/>
              </w:rPr>
              <w:t>31%</w:t>
            </w:r>
          </w:p>
        </w:tc>
      </w:tr>
      <w:tr w:rsidR="008573ED" w14:paraId="2AB76250" w14:textId="77777777" w:rsidTr="00C1425D">
        <w:tc>
          <w:tcPr>
            <w:tcW w:w="1700" w:type="dxa"/>
            <w:shd w:val="clear" w:color="auto" w:fill="auto"/>
            <w:tcMar>
              <w:top w:w="100" w:type="dxa"/>
              <w:left w:w="100" w:type="dxa"/>
              <w:bottom w:w="100" w:type="dxa"/>
              <w:right w:w="100" w:type="dxa"/>
            </w:tcMar>
          </w:tcPr>
          <w:p w14:paraId="2AB7624D" w14:textId="77777777" w:rsidR="008573ED" w:rsidRDefault="00C1425D" w:rsidP="00C1425D">
            <w:pPr>
              <w:widowControl w:val="0"/>
              <w:spacing w:after="0" w:line="240" w:lineRule="auto"/>
              <w:ind w:hanging="270"/>
              <w:jc w:val="center"/>
              <w:rPr>
                <w:sz w:val="24"/>
                <w:szCs w:val="24"/>
              </w:rPr>
            </w:pPr>
            <w:r>
              <w:rPr>
                <w:sz w:val="24"/>
                <w:szCs w:val="24"/>
              </w:rPr>
              <w:t>7th Grade</w:t>
            </w:r>
          </w:p>
        </w:tc>
        <w:tc>
          <w:tcPr>
            <w:tcW w:w="3883" w:type="dxa"/>
            <w:shd w:val="clear" w:color="auto" w:fill="auto"/>
            <w:tcMar>
              <w:top w:w="100" w:type="dxa"/>
              <w:left w:w="100" w:type="dxa"/>
              <w:bottom w:w="100" w:type="dxa"/>
              <w:right w:w="100" w:type="dxa"/>
            </w:tcMar>
          </w:tcPr>
          <w:p w14:paraId="2AB7624E" w14:textId="77777777" w:rsidR="008573ED" w:rsidRDefault="00C1425D" w:rsidP="00C1425D">
            <w:pPr>
              <w:widowControl w:val="0"/>
              <w:spacing w:after="0" w:line="240" w:lineRule="auto"/>
              <w:jc w:val="center"/>
              <w:rPr>
                <w:sz w:val="24"/>
                <w:szCs w:val="24"/>
              </w:rPr>
            </w:pPr>
            <w:r>
              <w:rPr>
                <w:sz w:val="24"/>
                <w:szCs w:val="24"/>
              </w:rPr>
              <w:t>71%</w:t>
            </w:r>
          </w:p>
        </w:tc>
        <w:tc>
          <w:tcPr>
            <w:tcW w:w="3777" w:type="dxa"/>
            <w:shd w:val="clear" w:color="auto" w:fill="auto"/>
            <w:tcMar>
              <w:top w:w="100" w:type="dxa"/>
              <w:left w:w="100" w:type="dxa"/>
              <w:bottom w:w="100" w:type="dxa"/>
              <w:right w:w="100" w:type="dxa"/>
            </w:tcMar>
          </w:tcPr>
          <w:p w14:paraId="2AB7624F" w14:textId="77777777" w:rsidR="008573ED" w:rsidRDefault="00C1425D" w:rsidP="00C1425D">
            <w:pPr>
              <w:widowControl w:val="0"/>
              <w:spacing w:after="0" w:line="240" w:lineRule="auto"/>
              <w:jc w:val="center"/>
              <w:rPr>
                <w:sz w:val="24"/>
                <w:szCs w:val="24"/>
              </w:rPr>
            </w:pPr>
            <w:r>
              <w:rPr>
                <w:sz w:val="24"/>
                <w:szCs w:val="24"/>
              </w:rPr>
              <w:t>54%</w:t>
            </w:r>
          </w:p>
        </w:tc>
      </w:tr>
      <w:tr w:rsidR="008573ED" w14:paraId="2AB76254" w14:textId="77777777" w:rsidTr="00C1425D">
        <w:tc>
          <w:tcPr>
            <w:tcW w:w="1700" w:type="dxa"/>
            <w:shd w:val="clear" w:color="auto" w:fill="auto"/>
            <w:tcMar>
              <w:top w:w="100" w:type="dxa"/>
              <w:left w:w="100" w:type="dxa"/>
              <w:bottom w:w="100" w:type="dxa"/>
              <w:right w:w="100" w:type="dxa"/>
            </w:tcMar>
          </w:tcPr>
          <w:p w14:paraId="2AB76251" w14:textId="77777777" w:rsidR="008573ED" w:rsidRDefault="00C1425D" w:rsidP="00C1425D">
            <w:pPr>
              <w:widowControl w:val="0"/>
              <w:spacing w:after="0" w:line="240" w:lineRule="auto"/>
              <w:ind w:hanging="270"/>
              <w:jc w:val="center"/>
              <w:rPr>
                <w:sz w:val="24"/>
                <w:szCs w:val="24"/>
              </w:rPr>
            </w:pPr>
            <w:r>
              <w:rPr>
                <w:sz w:val="24"/>
                <w:szCs w:val="24"/>
              </w:rPr>
              <w:t>8th Grade</w:t>
            </w:r>
          </w:p>
        </w:tc>
        <w:tc>
          <w:tcPr>
            <w:tcW w:w="3883" w:type="dxa"/>
            <w:shd w:val="clear" w:color="auto" w:fill="auto"/>
            <w:tcMar>
              <w:top w:w="100" w:type="dxa"/>
              <w:left w:w="100" w:type="dxa"/>
              <w:bottom w:w="100" w:type="dxa"/>
              <w:right w:w="100" w:type="dxa"/>
            </w:tcMar>
          </w:tcPr>
          <w:p w14:paraId="2AB76252" w14:textId="77777777" w:rsidR="008573ED" w:rsidRDefault="00C1425D" w:rsidP="00C1425D">
            <w:pPr>
              <w:widowControl w:val="0"/>
              <w:spacing w:after="0" w:line="240" w:lineRule="auto"/>
              <w:jc w:val="center"/>
              <w:rPr>
                <w:sz w:val="24"/>
                <w:szCs w:val="24"/>
              </w:rPr>
            </w:pPr>
            <w:r>
              <w:rPr>
                <w:sz w:val="24"/>
                <w:szCs w:val="24"/>
              </w:rPr>
              <w:t>71%</w:t>
            </w:r>
          </w:p>
        </w:tc>
        <w:tc>
          <w:tcPr>
            <w:tcW w:w="3777" w:type="dxa"/>
            <w:shd w:val="clear" w:color="auto" w:fill="auto"/>
            <w:tcMar>
              <w:top w:w="100" w:type="dxa"/>
              <w:left w:w="100" w:type="dxa"/>
              <w:bottom w:w="100" w:type="dxa"/>
              <w:right w:w="100" w:type="dxa"/>
            </w:tcMar>
          </w:tcPr>
          <w:p w14:paraId="2AB76253" w14:textId="77777777" w:rsidR="008573ED" w:rsidRDefault="00C1425D" w:rsidP="00C1425D">
            <w:pPr>
              <w:widowControl w:val="0"/>
              <w:spacing w:after="0" w:line="240" w:lineRule="auto"/>
              <w:jc w:val="center"/>
              <w:rPr>
                <w:sz w:val="24"/>
                <w:szCs w:val="24"/>
              </w:rPr>
            </w:pPr>
            <w:r>
              <w:rPr>
                <w:sz w:val="24"/>
                <w:szCs w:val="24"/>
              </w:rPr>
              <w:t>22%</w:t>
            </w:r>
          </w:p>
        </w:tc>
      </w:tr>
    </w:tbl>
    <w:p w14:paraId="2AB76255" w14:textId="77777777" w:rsidR="008573ED" w:rsidRDefault="008573ED" w:rsidP="00C1425D">
      <w:pPr>
        <w:spacing w:after="0" w:line="240" w:lineRule="auto"/>
        <w:rPr>
          <w:sz w:val="24"/>
          <w:szCs w:val="24"/>
        </w:rPr>
      </w:pPr>
    </w:p>
    <w:p w14:paraId="2AB76256" w14:textId="77D50542" w:rsidR="008573ED" w:rsidRDefault="00C1425D" w:rsidP="00C1425D">
      <w:pPr>
        <w:spacing w:after="120" w:line="240" w:lineRule="auto"/>
      </w:pPr>
      <w:r>
        <w:t>In looking at the two areas where we have the most room for improvement, our first step in the problem-solving</w:t>
      </w:r>
      <w:r>
        <w:t xml:space="preserve"> process was having our instructional coach work with the 6th grade collaborative team to look for opportunities to implement the personalized learning offered by the program. On the math side of things, we have come to realize as a team that our 8th grade pre-algebra students are exposed to grade-level standards and their readiness levels may be in lower grade levels. These </w:t>
      </w:r>
      <w:proofErr w:type="spellStart"/>
      <w:r>
        <w:t>MyPath</w:t>
      </w:r>
      <w:proofErr w:type="spellEnd"/>
      <w:r>
        <w:t xml:space="preserve"> lessons will provide instruction and practice at each student’s specific level, which builds them towards the grade-level stand</w:t>
      </w:r>
      <w:r>
        <w:t>ards in Tier 1.</w:t>
      </w:r>
    </w:p>
    <w:p w14:paraId="11A88C9D" w14:textId="0B76F25A" w:rsidR="00C1425D" w:rsidRDefault="00C1425D" w:rsidP="00C1425D">
      <w:pPr>
        <w:spacing w:after="120" w:line="240" w:lineRule="auto"/>
      </w:pPr>
      <w:r>
        <w:t xml:space="preserve">We are excited to have Lucy Davis come to East Oldham on Thursday, February 1st to share how we can best use the i-Ready program, as well as data from the assessments to guide our Tier 1 instruction. In addition, we look forward to learning how to leverage the data in our reports to maximize student growth. We have also put incentives in place for students to complete </w:t>
      </w:r>
      <w:proofErr w:type="spellStart"/>
      <w:r>
        <w:t>MyPath</w:t>
      </w:r>
      <w:proofErr w:type="spellEnd"/>
      <w:r>
        <w:t xml:space="preserve"> lessons in i-Ready across the school. Recognizing that even in our higher-level</w:t>
      </w:r>
      <w:r>
        <w:t xml:space="preserve"> math classes, students may have gaps in learning</w:t>
      </w:r>
      <w:r>
        <w:t xml:space="preserve"> given the pace of the advanced math classes.</w:t>
      </w:r>
    </w:p>
    <w:p w14:paraId="454F3D0D" w14:textId="77777777" w:rsidR="00C1425D" w:rsidRPr="00C1425D" w:rsidRDefault="00C1425D" w:rsidP="00C1425D">
      <w:pPr>
        <w:numPr>
          <w:ilvl w:val="0"/>
          <w:numId w:val="1"/>
        </w:numPr>
        <w:pBdr>
          <w:top w:val="nil"/>
          <w:left w:val="nil"/>
          <w:bottom w:val="nil"/>
          <w:right w:val="nil"/>
          <w:between w:val="nil"/>
        </w:pBdr>
        <w:spacing w:after="120" w:line="240" w:lineRule="auto"/>
        <w:ind w:left="360"/>
        <w:rPr>
          <w:b/>
          <w:bCs/>
          <w:color w:val="0070C0"/>
        </w:rPr>
      </w:pPr>
      <w:r w:rsidRPr="00C1425D">
        <w:rPr>
          <w:b/>
          <w:bCs/>
          <w:color w:val="0070C0"/>
        </w:rPr>
        <w:t xml:space="preserve">What are two topics that you and your council would like to discuss with the Board? </w:t>
      </w:r>
    </w:p>
    <w:p w14:paraId="2AB7625A" w14:textId="3AD2E2C1" w:rsidR="008573ED" w:rsidRDefault="00C1425D" w:rsidP="00C1425D">
      <w:pPr>
        <w:pBdr>
          <w:top w:val="nil"/>
          <w:left w:val="nil"/>
          <w:bottom w:val="nil"/>
          <w:right w:val="nil"/>
          <w:between w:val="nil"/>
        </w:pBdr>
        <w:spacing w:after="120" w:line="240" w:lineRule="auto"/>
      </w:pPr>
      <w:r>
        <w:t xml:space="preserve">We are grateful for the continued efforts around retention and finding ways to increase teachers’ compensation. The district getting input on committees to get input and address concerns at all staffing levels is much appreciated. </w:t>
      </w:r>
    </w:p>
    <w:p w14:paraId="2AB7625B" w14:textId="1494B979" w:rsidR="008573ED" w:rsidRDefault="00C1425D" w:rsidP="00C1425D">
      <w:pPr>
        <w:spacing w:after="120" w:line="240" w:lineRule="auto"/>
      </w:pPr>
      <w:r>
        <w:t xml:space="preserve">We are excited to be a part of the pilot of the </w:t>
      </w:r>
      <w:proofErr w:type="spellStart"/>
      <w:r>
        <w:t>TytoClinic</w:t>
      </w:r>
      <w:proofErr w:type="spellEnd"/>
      <w:r>
        <w:t>. Not only is it an excellent opportunity to partner with our community, but also provides</w:t>
      </w:r>
      <w:r>
        <w:t xml:space="preserve"> convenience for our staff and their families. The limited staff in our building that have accessed the clinic were impressed.</w:t>
      </w:r>
    </w:p>
    <w:p w14:paraId="2AB7625C" w14:textId="77777777" w:rsidR="008573ED" w:rsidRDefault="008573ED" w:rsidP="00C1425D">
      <w:pPr>
        <w:spacing w:after="120" w:line="240" w:lineRule="auto"/>
      </w:pPr>
    </w:p>
    <w:p w14:paraId="37D0041F" w14:textId="77777777" w:rsidR="00C1425D" w:rsidRDefault="00C1425D" w:rsidP="00C1425D">
      <w:pPr>
        <w:spacing w:after="120" w:line="240" w:lineRule="auto"/>
      </w:pPr>
    </w:p>
    <w:p w14:paraId="2AB7625F" w14:textId="3D966F74" w:rsidR="008573ED" w:rsidRDefault="00C1425D" w:rsidP="00C1425D">
      <w:pPr>
        <w:spacing w:after="120" w:line="240" w:lineRule="auto"/>
      </w:pPr>
      <w:r>
        <w:t xml:space="preserve">The addition of the Maker Space has provided opportunities </w:t>
      </w:r>
      <w:proofErr w:type="gramStart"/>
      <w:r>
        <w:t>never before</w:t>
      </w:r>
      <w:proofErr w:type="gramEnd"/>
      <w:r>
        <w:t xml:space="preserve"> experienced by most of our students. Every student has been trained in the safety and operation of the machines in the lab. Several teachers have taken whole classes into the Maker Space to create, evaluate, and synthesize material taught in class in a hands-on, minds-on approach. We have also invited teachers </w:t>
      </w:r>
      <w:proofErr w:type="gramStart"/>
      <w:r>
        <w:t>in during</w:t>
      </w:r>
      <w:proofErr w:type="gramEnd"/>
      <w:r>
        <w:t xml:space="preserve"> TWDs to create spirit wear as well as ornaments and keychains to get them more comfortable with using the equipment. The Learning Lounge space outside of the lab has also provid</w:t>
      </w:r>
      <w:r>
        <w:t xml:space="preserve">ed many opportunities for classes to use the white boards for Building Thinking Classrooms, which has taken root across our building. </w:t>
      </w:r>
    </w:p>
    <w:sectPr w:rsidR="008573ED" w:rsidSect="00C1425D">
      <w:headerReference w:type="default" r:id="rId7"/>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B01FA" w14:textId="77777777" w:rsidR="00C1425D" w:rsidRDefault="00C1425D" w:rsidP="00C1425D">
      <w:pPr>
        <w:spacing w:after="0" w:line="240" w:lineRule="auto"/>
      </w:pPr>
      <w:r>
        <w:separator/>
      </w:r>
    </w:p>
  </w:endnote>
  <w:endnote w:type="continuationSeparator" w:id="0">
    <w:p w14:paraId="1D17C978" w14:textId="77777777" w:rsidR="00C1425D" w:rsidRDefault="00C1425D" w:rsidP="00C14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434D5" w14:textId="77777777" w:rsidR="00C1425D" w:rsidRDefault="00C1425D" w:rsidP="00C1425D">
      <w:pPr>
        <w:spacing w:after="0" w:line="240" w:lineRule="auto"/>
      </w:pPr>
      <w:r>
        <w:separator/>
      </w:r>
    </w:p>
  </w:footnote>
  <w:footnote w:type="continuationSeparator" w:id="0">
    <w:p w14:paraId="00D7480A" w14:textId="77777777" w:rsidR="00C1425D" w:rsidRDefault="00C1425D" w:rsidP="00C14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F6E2" w14:textId="4C280C5C" w:rsidR="00C1425D" w:rsidRDefault="00C1425D">
    <w:pPr>
      <w:pStyle w:val="Header"/>
    </w:pPr>
    <w:r>
      <w:rPr>
        <w:noProof/>
      </w:rPr>
      <w:drawing>
        <wp:anchor distT="0" distB="0" distL="114300" distR="114300" simplePos="0" relativeHeight="251659264" behindDoc="0" locked="0" layoutInCell="1" allowOverlap="1" wp14:anchorId="376F0482" wp14:editId="28EECE81">
          <wp:simplePos x="0" y="0"/>
          <wp:positionH relativeFrom="margin">
            <wp:align>center</wp:align>
          </wp:positionH>
          <wp:positionV relativeFrom="paragraph">
            <wp:posOffset>-228600</wp:posOffset>
          </wp:positionV>
          <wp:extent cx="1962150" cy="678180"/>
          <wp:effectExtent l="0" t="0" r="0" b="7620"/>
          <wp:wrapNone/>
          <wp:docPr id="646718380" name="Picture 1" descr="A black and yellow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18380" name="Picture 1" descr="A black and yellow sign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2150" cy="6781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E035D"/>
    <w:multiLevelType w:val="multilevel"/>
    <w:tmpl w:val="8224FF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595498"/>
    <w:multiLevelType w:val="hybridMultilevel"/>
    <w:tmpl w:val="2A904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8917089">
    <w:abstractNumId w:val="0"/>
  </w:num>
  <w:num w:numId="2" w16cid:durableId="30797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ED"/>
    <w:rsid w:val="008573ED"/>
    <w:rsid w:val="00C1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6233"/>
  <w15:docId w15:val="{BC26CB93-30F1-4DDD-BACB-56A69CA0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14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25D"/>
  </w:style>
  <w:style w:type="paragraph" w:styleId="Footer">
    <w:name w:val="footer"/>
    <w:basedOn w:val="Normal"/>
    <w:link w:val="FooterChar"/>
    <w:uiPriority w:val="99"/>
    <w:unhideWhenUsed/>
    <w:rsid w:val="00C14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25D"/>
  </w:style>
  <w:style w:type="paragraph" w:styleId="ListParagraph">
    <w:name w:val="List Paragraph"/>
    <w:basedOn w:val="Normal"/>
    <w:uiPriority w:val="34"/>
    <w:qFormat/>
    <w:rsid w:val="00C142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1044</Words>
  <Characters>5951</Characters>
  <Application>Microsoft Office Word</Application>
  <DocSecurity>0</DocSecurity>
  <Lines>49</Lines>
  <Paragraphs>13</Paragraphs>
  <ScaleCrop>false</ScaleCrop>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Easton, Jane S</cp:lastModifiedBy>
  <cp:revision>2</cp:revision>
  <dcterms:created xsi:type="dcterms:W3CDTF">2024-01-31T17:04:00Z</dcterms:created>
  <dcterms:modified xsi:type="dcterms:W3CDTF">2024-01-31T17:10:00Z</dcterms:modified>
</cp:coreProperties>
</file>