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DDEAD" w14:textId="0FA919FE" w:rsidR="00B34CFC" w:rsidRDefault="00E756C2" w:rsidP="00E756C2">
      <w:pPr>
        <w:spacing w:before="130" w:line="240" w:lineRule="auto"/>
        <w:jc w:val="center"/>
        <w:rPr>
          <w:b/>
          <w:sz w:val="44"/>
          <w:szCs w:val="44"/>
        </w:rPr>
      </w:pPr>
      <w:r>
        <w:rPr>
          <w:b/>
          <w:sz w:val="44"/>
          <w:szCs w:val="44"/>
        </w:rPr>
        <w:t>SBDM COUNCIL REPORT 2023-2024</w:t>
      </w:r>
    </w:p>
    <w:p w14:paraId="2BCDDEAE" w14:textId="77777777" w:rsidR="00B34CFC" w:rsidRDefault="00E756C2" w:rsidP="00E756C2">
      <w:pPr>
        <w:spacing w:after="120" w:line="240" w:lineRule="auto"/>
        <w:ind w:left="360" w:hanging="360"/>
      </w:pPr>
      <w:r>
        <w:rPr>
          <w:b/>
        </w:rPr>
        <w:t>School</w:t>
      </w:r>
      <w:r>
        <w:t>:  Arvin Education Center</w:t>
      </w:r>
      <w:r>
        <w:tab/>
      </w:r>
    </w:p>
    <w:p w14:paraId="2BCDDEAF" w14:textId="77777777" w:rsidR="00B34CFC" w:rsidRDefault="00E756C2" w:rsidP="00E756C2">
      <w:pPr>
        <w:spacing w:after="120" w:line="240" w:lineRule="auto"/>
        <w:ind w:left="360" w:hanging="360"/>
        <w:rPr>
          <w:b/>
        </w:rPr>
      </w:pPr>
      <w:r>
        <w:rPr>
          <w:b/>
        </w:rPr>
        <w:t>SBDM Council Members</w:t>
      </w:r>
    </w:p>
    <w:p w14:paraId="2BCDDEB0" w14:textId="5682253E" w:rsidR="00B34CFC" w:rsidRDefault="00E756C2" w:rsidP="002E70CD">
      <w:pPr>
        <w:pStyle w:val="ListParagraph"/>
        <w:numPr>
          <w:ilvl w:val="0"/>
          <w:numId w:val="3"/>
        </w:numPr>
        <w:spacing w:after="120" w:line="240" w:lineRule="auto"/>
      </w:pPr>
      <w:r>
        <w:t>Parents: None</w:t>
      </w:r>
    </w:p>
    <w:p w14:paraId="2BCDDEB1" w14:textId="4391468C" w:rsidR="00B34CFC" w:rsidRDefault="00E756C2" w:rsidP="002E70CD">
      <w:pPr>
        <w:pStyle w:val="ListParagraph"/>
        <w:numPr>
          <w:ilvl w:val="0"/>
          <w:numId w:val="3"/>
        </w:numPr>
        <w:spacing w:after="120" w:line="240" w:lineRule="auto"/>
      </w:pPr>
      <w:r>
        <w:t>Teachers: Mark Nichter (Automotive), Gary Bajdek (Culinary), Ousseynou Soumare (Math), Emily Spendlove (Business), Tory Watkins (Biomedical), Kendall Kennedy (Culinary Student), Heidi Peters (Biomedical student and Intern)</w:t>
      </w:r>
      <w:r w:rsidR="001527E8">
        <w:t>, Stephen Drawbaugh (Assistant Principal), Jamie Shiver (Counselor)</w:t>
      </w:r>
    </w:p>
    <w:p w14:paraId="2BCDDEB2" w14:textId="09FFBC95" w:rsidR="00B34CFC" w:rsidRDefault="00E756C2" w:rsidP="002E70CD">
      <w:pPr>
        <w:pStyle w:val="ListParagraph"/>
        <w:numPr>
          <w:ilvl w:val="0"/>
          <w:numId w:val="3"/>
        </w:numPr>
        <w:spacing w:after="120" w:line="240" w:lineRule="auto"/>
      </w:pPr>
      <w:r>
        <w:t xml:space="preserve">Chair: </w:t>
      </w:r>
      <w:r w:rsidR="001527E8">
        <w:t>Matt Watkins - Principal</w:t>
      </w:r>
    </w:p>
    <w:p w14:paraId="2BCDDEB3" w14:textId="2C688231" w:rsidR="00B34CFC" w:rsidRDefault="00E756C2" w:rsidP="00E756C2">
      <w:pPr>
        <w:spacing w:after="120" w:line="240" w:lineRule="auto"/>
        <w:ind w:left="360" w:hanging="360"/>
      </w:pPr>
      <w:r>
        <w:rPr>
          <w:b/>
        </w:rPr>
        <w:t>Date of Presentation to the Board</w:t>
      </w:r>
      <w:r>
        <w:t>: January 25, 2024</w:t>
      </w:r>
    </w:p>
    <w:p w14:paraId="2BCDDEB5" w14:textId="77777777" w:rsidR="00B34CFC" w:rsidRPr="00E756C2" w:rsidRDefault="00E756C2" w:rsidP="00E756C2">
      <w:pPr>
        <w:numPr>
          <w:ilvl w:val="0"/>
          <w:numId w:val="1"/>
        </w:numPr>
        <w:pBdr>
          <w:top w:val="nil"/>
          <w:left w:val="nil"/>
          <w:bottom w:val="nil"/>
          <w:right w:val="nil"/>
          <w:between w:val="nil"/>
        </w:pBdr>
        <w:spacing w:after="120" w:line="240" w:lineRule="auto"/>
        <w:ind w:left="360"/>
        <w:rPr>
          <w:b/>
          <w:bCs/>
          <w:color w:val="0070C0"/>
        </w:rPr>
      </w:pPr>
      <w:r w:rsidRPr="00E756C2">
        <w:rPr>
          <w:b/>
          <w:bCs/>
          <w:color w:val="0070C0"/>
        </w:rPr>
        <w:t xml:space="preserve">Discuss the work you are doing in your building around core instruction. What would you like to highlight that is working well in your building? How are these efforts impacting students groups experiencing the achievement gap? All students? </w:t>
      </w:r>
    </w:p>
    <w:p w14:paraId="2BCDDEB6" w14:textId="77777777" w:rsidR="00B34CFC" w:rsidRDefault="00E756C2" w:rsidP="00E756C2">
      <w:pPr>
        <w:spacing w:after="120" w:line="240" w:lineRule="auto"/>
        <w:rPr>
          <w:color w:val="242424"/>
          <w:highlight w:val="white"/>
        </w:rPr>
      </w:pPr>
      <w:r>
        <w:rPr>
          <w:color w:val="242424"/>
          <w:highlight w:val="white"/>
        </w:rPr>
        <w:t>In our building, the implementation of Building Thinking Classrooms (BTC) stands out as a pivotal instructional practice, and we commend Elaine Dillard for her exemplary leadership, dedication, and support in this area. Under the guidance of Adam and Lindsey on the leadership team for the BTC year 2 group, the impact has been substantial. BTC has not only narrowed down the list of struggling students but has significantly increased student engagement and enjoyment in the classroom. The positive outcomes are reflected in the noticeable improvement in unit assessment averages across the board.</w:t>
      </w:r>
    </w:p>
    <w:p w14:paraId="2BCDDEB7" w14:textId="77777777" w:rsidR="00B34CFC" w:rsidRDefault="00E756C2" w:rsidP="00E756C2">
      <w:pPr>
        <w:spacing w:after="120" w:line="240" w:lineRule="auto"/>
        <w:rPr>
          <w:color w:val="242424"/>
          <w:highlight w:val="yellow"/>
        </w:rPr>
      </w:pPr>
      <w:r>
        <w:rPr>
          <w:color w:val="242424"/>
          <w:highlight w:val="white"/>
        </w:rPr>
        <w:t>The Arvin 360 experience has played a crucial role in spreading effective teaching practices. Seeing BTC in action in various classrooms and programs has fostered a culture of shared learning and innovation. Furthermore, the collaboration between core and career teachers, exemplified by Deeper Learning fellows like Jennifer, Lindsey, and Tonya, is fostering a holistic educational approach. These experiences are resulting in positive impacts leading to the creation of lab classrooms to showcase deeper learning competencies.</w:t>
      </w:r>
    </w:p>
    <w:p w14:paraId="2BCDDEB8" w14:textId="77777777" w:rsidR="00B34CFC" w:rsidRDefault="00E756C2" w:rsidP="00E756C2">
      <w:pPr>
        <w:spacing w:after="120" w:line="240" w:lineRule="auto"/>
        <w:rPr>
          <w:color w:val="242424"/>
          <w:highlight w:val="white"/>
        </w:rPr>
      </w:pPr>
      <w:r>
        <w:rPr>
          <w:color w:val="242424"/>
          <w:highlight w:val="white"/>
        </w:rPr>
        <w:t>The intersection of core and career classes at Arvin is a unique strength, allowing for targeted support for struggling students. As highlighted by the collaboration between math and computer science classes, the ability to conference and collaborate on solutions when a student is facing challenges in their core class is proving instrumental in helping students succeed. This collaborative effort, encompassing Project-Based Learning and randomized grouping in BTC, is a significant stride in addressing achievement gaps and positively impacting the educational experience for all students.</w:t>
      </w:r>
    </w:p>
    <w:p w14:paraId="2BCDDEBB" w14:textId="77777777" w:rsidR="00B34CFC" w:rsidRPr="00E756C2" w:rsidRDefault="00E756C2" w:rsidP="00E756C2">
      <w:pPr>
        <w:numPr>
          <w:ilvl w:val="0"/>
          <w:numId w:val="1"/>
        </w:numPr>
        <w:pBdr>
          <w:top w:val="nil"/>
          <w:left w:val="nil"/>
          <w:bottom w:val="nil"/>
          <w:right w:val="nil"/>
          <w:between w:val="nil"/>
        </w:pBdr>
        <w:spacing w:after="120" w:line="240" w:lineRule="auto"/>
        <w:ind w:left="360"/>
        <w:rPr>
          <w:b/>
          <w:bCs/>
          <w:color w:val="0070C0"/>
        </w:rPr>
      </w:pPr>
      <w:r w:rsidRPr="00E756C2">
        <w:rPr>
          <w:b/>
          <w:bCs/>
          <w:color w:val="0070C0"/>
        </w:rPr>
        <w:t xml:space="preserve">Based on the needs of your school, what priority areas have you identified? How will you work on these priority areas this year and how will you measure progress over time? </w:t>
      </w:r>
    </w:p>
    <w:p w14:paraId="2BCDDEBC" w14:textId="77777777" w:rsidR="00B34CFC" w:rsidRDefault="00E756C2" w:rsidP="00E756C2">
      <w:pPr>
        <w:spacing w:after="120" w:line="240" w:lineRule="auto"/>
      </w:pPr>
      <w:r>
        <w:t>The Math PLC's commitment to full Building Thinking Classrooms (BTC) implementation and knowledge-sharing within the school is a significant priority area, aiming to enhance teaching practices across the board. The collaboration fostered through PLCs has proven invaluable in identifying areas for growth, with a particular focus on diversifying teaching methodologies in areas like Business, Culinary, Auto, and Engineering. The observations facilitated by Arvin 360 have provided a holistic view of BTC's growth throughout the building, serving as a valuable tool to evaluate progress from year to year.</w:t>
      </w:r>
    </w:p>
    <w:p w14:paraId="6B7481E2" w14:textId="77777777" w:rsidR="00E756C2" w:rsidRDefault="00E756C2" w:rsidP="00E756C2">
      <w:pPr>
        <w:spacing w:after="120" w:line="240" w:lineRule="auto"/>
      </w:pPr>
      <w:r>
        <w:lastRenderedPageBreak/>
        <w:t xml:space="preserve">In addition, the strategic use of iReady assessments by Algebra 1 teachers to identify knowledge gaps and measure progress for struggling students reflects a commitment to data-driven decision-making. This approach aligns with the broader goal of transforming classes into models of deeper learning </w:t>
      </w:r>
    </w:p>
    <w:p w14:paraId="1039B78D" w14:textId="77777777" w:rsidR="00E756C2" w:rsidRDefault="00E756C2" w:rsidP="00E756C2">
      <w:pPr>
        <w:spacing w:after="120" w:line="240" w:lineRule="auto"/>
      </w:pPr>
    </w:p>
    <w:p w14:paraId="2BCDDEBD" w14:textId="6FA7B78E" w:rsidR="00B34CFC" w:rsidRDefault="00E756C2" w:rsidP="00E756C2">
      <w:pPr>
        <w:spacing w:after="120" w:line="240" w:lineRule="auto"/>
      </w:pPr>
      <w:r>
        <w:t>through BTC and Project-Based Learning. The measurement of progress in these areas is tied to student achievement on summative assessments and career/college readiness exams, emphasizing a comprehensive approach to assessing the impact of instructional practices on students' academic and future success. The ongoing collaboration and assessment efforts within PLCs contribute to a dynamic and responsive approach to addressing priority areas at Arvin.</w:t>
      </w:r>
    </w:p>
    <w:p w14:paraId="2BCDDEBE" w14:textId="77777777" w:rsidR="00B34CFC" w:rsidRPr="00E756C2" w:rsidRDefault="00E756C2" w:rsidP="00E756C2">
      <w:pPr>
        <w:numPr>
          <w:ilvl w:val="0"/>
          <w:numId w:val="1"/>
        </w:numPr>
        <w:pBdr>
          <w:top w:val="nil"/>
          <w:left w:val="nil"/>
          <w:bottom w:val="nil"/>
          <w:right w:val="nil"/>
          <w:between w:val="nil"/>
        </w:pBdr>
        <w:spacing w:after="120" w:line="240" w:lineRule="auto"/>
        <w:ind w:left="360"/>
        <w:rPr>
          <w:b/>
          <w:bCs/>
          <w:color w:val="0070C0"/>
        </w:rPr>
      </w:pPr>
      <w:r w:rsidRPr="00E756C2">
        <w:rPr>
          <w:b/>
          <w:bCs/>
          <w:color w:val="0070C0"/>
        </w:rPr>
        <w:t xml:space="preserve">What are two topics that you and your council would like to discuss with the Board? </w:t>
      </w:r>
    </w:p>
    <w:p w14:paraId="2BCDDEBF" w14:textId="77777777" w:rsidR="00B34CFC" w:rsidRDefault="00E756C2" w:rsidP="00E756C2">
      <w:pPr>
        <w:spacing w:after="120" w:line="240" w:lineRule="auto"/>
      </w:pPr>
      <w:r>
        <w:t>For our discussion with the Board, we would like to emphasize two critical topics aimed at optimizing the overall educational experience within our school. First, we propose a conversation on "Optimizing Teacher Time." The focus will be on underlining the significance of teachers' time and introducing potential solutions, such as acquiring an Infinite Campus Learning License, to streamline data entry. By minimizing administrative burdens, educators can redirect their time towards crucial aspects like curriculum development and direct student engagement. This strategic move not only enhances the efficiency of our teaching staff but also contributes to the overall quality of education provided to our students.</w:t>
      </w:r>
    </w:p>
    <w:p w14:paraId="2BCDDEC3" w14:textId="4A280BA0" w:rsidR="00B34CFC" w:rsidRDefault="00E756C2" w:rsidP="00E756C2">
      <w:pPr>
        <w:spacing w:after="120" w:line="240" w:lineRule="auto"/>
      </w:pPr>
      <w:r>
        <w:t>Secondly, we want to explore "Student-Centric Approaches" with the Board. This discussion would involve strategies to further support students, particularly those facing challenges. By tailoring instruction and support services to meet diverse student needs, we aim to foster a more inclusive and personalized learning environment. Additionally, we would like to explore opportunities to add additional pathways specifically in trades or career classes. By expanding our offerings in these areas, we can provide students with more diverse educational pathways, aligning with their interests and preparing them for success in various career fields. Both of these topics align with our commitment to continuous improvement and ensuring a student-centered approach to education.</w:t>
      </w:r>
    </w:p>
    <w:sectPr w:rsidR="00B34CFC" w:rsidSect="00E756C2">
      <w:headerReference w:type="default" r:id="rId8"/>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B5F4A" w14:textId="77777777" w:rsidR="00E756C2" w:rsidRDefault="00E756C2" w:rsidP="00E756C2">
      <w:pPr>
        <w:spacing w:after="0" w:line="240" w:lineRule="auto"/>
      </w:pPr>
      <w:r>
        <w:separator/>
      </w:r>
    </w:p>
  </w:endnote>
  <w:endnote w:type="continuationSeparator" w:id="0">
    <w:p w14:paraId="704D4694" w14:textId="77777777" w:rsidR="00E756C2" w:rsidRDefault="00E756C2" w:rsidP="00E756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61626" w14:textId="77777777" w:rsidR="00E756C2" w:rsidRDefault="00E756C2" w:rsidP="00E756C2">
      <w:pPr>
        <w:spacing w:after="0" w:line="240" w:lineRule="auto"/>
      </w:pPr>
      <w:r>
        <w:separator/>
      </w:r>
    </w:p>
  </w:footnote>
  <w:footnote w:type="continuationSeparator" w:id="0">
    <w:p w14:paraId="7521D753" w14:textId="77777777" w:rsidR="00E756C2" w:rsidRDefault="00E756C2" w:rsidP="00E756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A99D9" w14:textId="12969B5D" w:rsidR="00E756C2" w:rsidRDefault="00E756C2" w:rsidP="00E756C2">
    <w:pPr>
      <w:pStyle w:val="Header"/>
      <w:jc w:val="center"/>
    </w:pPr>
    <w:r>
      <w:rPr>
        <w:noProof/>
      </w:rPr>
      <w:drawing>
        <wp:anchor distT="0" distB="0" distL="114300" distR="114300" simplePos="0" relativeHeight="251659264" behindDoc="0" locked="0" layoutInCell="1" allowOverlap="1" wp14:anchorId="36D3000C" wp14:editId="3545F314">
          <wp:simplePos x="0" y="0"/>
          <wp:positionH relativeFrom="margin">
            <wp:align>center</wp:align>
          </wp:positionH>
          <wp:positionV relativeFrom="paragraph">
            <wp:posOffset>-228600</wp:posOffset>
          </wp:positionV>
          <wp:extent cx="1962150" cy="678790"/>
          <wp:effectExtent l="0" t="0" r="0" b="7620"/>
          <wp:wrapNone/>
          <wp:docPr id="646718380"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79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330C4"/>
    <w:multiLevelType w:val="multilevel"/>
    <w:tmpl w:val="FFFFFFFF"/>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6DF34EF5"/>
    <w:multiLevelType w:val="hybridMultilevel"/>
    <w:tmpl w:val="8702D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B54268"/>
    <w:multiLevelType w:val="hybridMultilevel"/>
    <w:tmpl w:val="BF9E91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01898820">
    <w:abstractNumId w:val="0"/>
  </w:num>
  <w:num w:numId="2" w16cid:durableId="1588225246">
    <w:abstractNumId w:val="2"/>
  </w:num>
  <w:num w:numId="3" w16cid:durableId="16903704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4CFC"/>
    <w:rsid w:val="001527E8"/>
    <w:rsid w:val="002E70CD"/>
    <w:rsid w:val="00B34CFC"/>
    <w:rsid w:val="00E756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CDDEAB"/>
  <w15:docId w15:val="{84BDB670-824E-40CF-A23A-4A11033DE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E756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56C2"/>
  </w:style>
  <w:style w:type="paragraph" w:styleId="Footer">
    <w:name w:val="footer"/>
    <w:basedOn w:val="Normal"/>
    <w:link w:val="FooterChar"/>
    <w:uiPriority w:val="99"/>
    <w:unhideWhenUsed/>
    <w:rsid w:val="00E756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56C2"/>
  </w:style>
  <w:style w:type="paragraph" w:styleId="ListParagraph">
    <w:name w:val="List Paragraph"/>
    <w:basedOn w:val="Normal"/>
    <w:uiPriority w:val="34"/>
    <w:qFormat/>
    <w:rsid w:val="00E756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wY+aoUwax1A0dvZaCjekAuBwOg==">CgMxLjAyCGguZ2pkZ3hzOAByITFKTXFKdW4waGp2MS13aXZ1U1VxeGItYmRSSS0wUFhoUA==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828</Words>
  <Characters>4720</Characters>
  <Application>Microsoft Office Word</Application>
  <DocSecurity>0</DocSecurity>
  <Lines>39</Lines>
  <Paragraphs>11</Paragraphs>
  <ScaleCrop>false</ScaleCrop>
  <Company/>
  <LinksUpToDate>false</LinksUpToDate>
  <CharactersWithSpaces>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4</cp:revision>
  <dcterms:created xsi:type="dcterms:W3CDTF">2024-01-19T15:12:00Z</dcterms:created>
  <dcterms:modified xsi:type="dcterms:W3CDTF">2024-01-24T13:52:00Z</dcterms:modified>
</cp:coreProperties>
</file>