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D36D" w14:textId="0F886D77" w:rsidR="00856DA0" w:rsidRDefault="003B1C00" w:rsidP="003B1C00">
      <w:pPr>
        <w:jc w:val="right"/>
        <w:rPr>
          <w:b/>
        </w:rPr>
      </w:pPr>
      <w:r>
        <w:rPr>
          <w:b/>
        </w:rPr>
        <w:t xml:space="preserve">ACTION ITEM </w:t>
      </w:r>
      <w:r w:rsidR="003A319B">
        <w:rPr>
          <w:b/>
        </w:rPr>
        <w:t>D</w:t>
      </w:r>
    </w:p>
    <w:p w14:paraId="3B53C51B" w14:textId="0B3807FC" w:rsidR="00856DA0" w:rsidRDefault="00D51C40" w:rsidP="003B1C00">
      <w:pPr>
        <w:spacing w:after="240"/>
        <w:jc w:val="right"/>
        <w:rPr>
          <w:b/>
        </w:rPr>
      </w:pPr>
      <w:r>
        <w:rPr>
          <w:b/>
        </w:rPr>
        <w:t xml:space="preserve">January </w:t>
      </w:r>
      <w:r w:rsidR="003A319B">
        <w:rPr>
          <w:b/>
        </w:rPr>
        <w:t>22</w:t>
      </w:r>
      <w:r>
        <w:rPr>
          <w:b/>
        </w:rPr>
        <w:t>, 20</w:t>
      </w:r>
      <w:r w:rsidR="003B1C00">
        <w:rPr>
          <w:b/>
        </w:rPr>
        <w:t>2</w:t>
      </w:r>
      <w:r>
        <w:rPr>
          <w:b/>
        </w:rPr>
        <w:t>4</w:t>
      </w:r>
    </w:p>
    <w:p w14:paraId="5B6385A1" w14:textId="63AC5B87" w:rsidR="00856DA0" w:rsidRDefault="00856DA0" w:rsidP="003B1C00">
      <w:pPr>
        <w:spacing w:after="240"/>
        <w:jc w:val="center"/>
        <w:rPr>
          <w:b/>
        </w:rPr>
      </w:pPr>
      <w:r>
        <w:rPr>
          <w:b/>
        </w:rPr>
        <w:t>OLDHAM COUNTY BOARD OF EDUCATION</w:t>
      </w:r>
    </w:p>
    <w:p w14:paraId="6C3D4D10" w14:textId="1E880B50" w:rsidR="00856DA0" w:rsidRPr="009E4A02" w:rsidRDefault="00856DA0">
      <w:pPr>
        <w:rPr>
          <w:b/>
          <w:sz w:val="22"/>
          <w:szCs w:val="22"/>
        </w:rPr>
      </w:pPr>
      <w:r w:rsidRPr="009E4A02">
        <w:rPr>
          <w:b/>
          <w:sz w:val="22"/>
          <w:szCs w:val="22"/>
        </w:rPr>
        <w:t>CONCERN</w:t>
      </w:r>
    </w:p>
    <w:p w14:paraId="65AD9D46" w14:textId="31AA0209" w:rsidR="00856DA0" w:rsidRPr="009E4A02" w:rsidRDefault="0057266B" w:rsidP="003B1C00">
      <w:pPr>
        <w:spacing w:after="120"/>
        <w:rPr>
          <w:sz w:val="22"/>
          <w:szCs w:val="22"/>
        </w:rPr>
      </w:pPr>
      <w:r w:rsidRPr="009E4A02">
        <w:rPr>
          <w:sz w:val="22"/>
          <w:szCs w:val="22"/>
        </w:rPr>
        <w:t>Redistricting of</w:t>
      </w:r>
      <w:r w:rsidR="00AB2E5D" w:rsidRPr="009E4A02">
        <w:rPr>
          <w:sz w:val="22"/>
          <w:szCs w:val="22"/>
        </w:rPr>
        <w:t xml:space="preserve"> </w:t>
      </w:r>
      <w:r w:rsidRPr="009E4A02">
        <w:rPr>
          <w:sz w:val="22"/>
          <w:szCs w:val="22"/>
        </w:rPr>
        <w:t xml:space="preserve">board member </w:t>
      </w:r>
      <w:r w:rsidR="003B7C1F" w:rsidRPr="009E4A02">
        <w:rPr>
          <w:sz w:val="22"/>
          <w:szCs w:val="22"/>
        </w:rPr>
        <w:t xml:space="preserve">division boundaries </w:t>
      </w:r>
      <w:r w:rsidR="003B1C00" w:rsidRPr="009E4A02">
        <w:rPr>
          <w:sz w:val="22"/>
          <w:szCs w:val="22"/>
        </w:rPr>
        <w:t>(2024)</w:t>
      </w:r>
    </w:p>
    <w:p w14:paraId="104496C4" w14:textId="487AF0A1" w:rsidR="00856DA0" w:rsidRPr="009E4A02" w:rsidRDefault="00856DA0">
      <w:pPr>
        <w:rPr>
          <w:b/>
          <w:sz w:val="22"/>
          <w:szCs w:val="22"/>
        </w:rPr>
      </w:pPr>
      <w:r w:rsidRPr="009E4A02">
        <w:rPr>
          <w:b/>
          <w:sz w:val="22"/>
          <w:szCs w:val="22"/>
        </w:rPr>
        <w:t>DISCUSSION</w:t>
      </w:r>
    </w:p>
    <w:p w14:paraId="0B069123" w14:textId="76C9341B" w:rsidR="005E3ECC" w:rsidRPr="009E4A02" w:rsidRDefault="003B7C1F" w:rsidP="003B1C00">
      <w:pPr>
        <w:spacing w:after="120"/>
        <w:rPr>
          <w:sz w:val="22"/>
          <w:szCs w:val="22"/>
        </w:rPr>
      </w:pPr>
      <w:r w:rsidRPr="009E4A02">
        <w:rPr>
          <w:sz w:val="22"/>
          <w:szCs w:val="22"/>
        </w:rPr>
        <w:t xml:space="preserve">Every ten years districts are required to redistrict the board member division boundaries based on changes in population as reported by the census. </w:t>
      </w:r>
      <w:r w:rsidR="00D540D7" w:rsidRPr="009E4A02">
        <w:rPr>
          <w:sz w:val="22"/>
          <w:szCs w:val="22"/>
        </w:rPr>
        <w:t xml:space="preserve">KRS 117.055 and KRS 160.210 are the statutes that guide this process. Voter population in each division is to </w:t>
      </w:r>
      <w:r w:rsidR="00942261" w:rsidRPr="009E4A02">
        <w:rPr>
          <w:sz w:val="22"/>
          <w:szCs w:val="22"/>
        </w:rPr>
        <w:t xml:space="preserve">be </w:t>
      </w:r>
      <w:r w:rsidR="00D540D7" w:rsidRPr="009E4A02">
        <w:rPr>
          <w:sz w:val="22"/>
          <w:szCs w:val="22"/>
        </w:rPr>
        <w:t>equal as is insofar possible</w:t>
      </w:r>
      <w:r w:rsidR="00925CAA" w:rsidRPr="009E4A02">
        <w:rPr>
          <w:sz w:val="22"/>
          <w:szCs w:val="22"/>
        </w:rPr>
        <w:t>, with not a greater variation of five percent of the total population</w:t>
      </w:r>
      <w:r w:rsidR="00671A5C" w:rsidRPr="009E4A02">
        <w:rPr>
          <w:sz w:val="22"/>
          <w:szCs w:val="22"/>
        </w:rPr>
        <w:t xml:space="preserve"> based on the number of divisions</w:t>
      </w:r>
      <w:r w:rsidR="00D540D7" w:rsidRPr="009E4A02">
        <w:rPr>
          <w:sz w:val="22"/>
          <w:szCs w:val="22"/>
        </w:rPr>
        <w:t>.</w:t>
      </w:r>
    </w:p>
    <w:p w14:paraId="49FF14E1" w14:textId="7C7DF91E" w:rsidR="005E3ECC" w:rsidRPr="009E4A02" w:rsidRDefault="00D540D7" w:rsidP="003B1C00">
      <w:pPr>
        <w:spacing w:after="120"/>
        <w:rPr>
          <w:sz w:val="22"/>
          <w:szCs w:val="22"/>
        </w:rPr>
      </w:pPr>
      <w:r w:rsidRPr="009E4A02">
        <w:rPr>
          <w:sz w:val="22"/>
          <w:szCs w:val="22"/>
        </w:rPr>
        <w:t>The</w:t>
      </w:r>
      <w:r w:rsidR="00671A5C" w:rsidRPr="009E4A02">
        <w:rPr>
          <w:sz w:val="22"/>
          <w:szCs w:val="22"/>
        </w:rPr>
        <w:t xml:space="preserve"> prison population is calculated into the total population for the county which results in one division being larger than the specified amount, this is </w:t>
      </w:r>
      <w:r w:rsidR="003B1C00" w:rsidRPr="009E4A02">
        <w:rPr>
          <w:sz w:val="22"/>
          <w:szCs w:val="22"/>
        </w:rPr>
        <w:t>D</w:t>
      </w:r>
      <w:r w:rsidR="00671A5C" w:rsidRPr="009E4A02">
        <w:rPr>
          <w:sz w:val="22"/>
          <w:szCs w:val="22"/>
        </w:rPr>
        <w:t xml:space="preserve">ivision </w:t>
      </w:r>
      <w:r w:rsidR="003B1C00" w:rsidRPr="009E4A02">
        <w:rPr>
          <w:sz w:val="22"/>
          <w:szCs w:val="22"/>
        </w:rPr>
        <w:t>F</w:t>
      </w:r>
      <w:r w:rsidR="00671A5C" w:rsidRPr="009E4A02">
        <w:rPr>
          <w:sz w:val="22"/>
          <w:szCs w:val="22"/>
        </w:rPr>
        <w:t xml:space="preserve">ive, though when the prison population is removed it is within the standard. </w:t>
      </w:r>
      <w:r w:rsidR="002D1957" w:rsidRPr="009E4A02">
        <w:rPr>
          <w:sz w:val="22"/>
          <w:szCs w:val="22"/>
        </w:rPr>
        <w:t xml:space="preserve">Division </w:t>
      </w:r>
      <w:r w:rsidR="003B1C00" w:rsidRPr="009E4A02">
        <w:rPr>
          <w:sz w:val="22"/>
          <w:szCs w:val="22"/>
        </w:rPr>
        <w:t>O</w:t>
      </w:r>
      <w:r w:rsidR="002D1957" w:rsidRPr="009E4A02">
        <w:rPr>
          <w:sz w:val="22"/>
          <w:szCs w:val="22"/>
        </w:rPr>
        <w:t>ne is smaller than the standard by approximately 500 residents based on its location and selecting the close</w:t>
      </w:r>
      <w:r w:rsidR="003B1C00" w:rsidRPr="009E4A02">
        <w:rPr>
          <w:sz w:val="22"/>
          <w:szCs w:val="22"/>
        </w:rPr>
        <w:t>s</w:t>
      </w:r>
      <w:r w:rsidR="002D1957" w:rsidRPr="009E4A02">
        <w:rPr>
          <w:sz w:val="22"/>
          <w:szCs w:val="22"/>
        </w:rPr>
        <w:t xml:space="preserve">t contiguous precinct could potentially remove other board members from their division. </w:t>
      </w:r>
    </w:p>
    <w:p w14:paraId="59D0D474" w14:textId="0C5D254D" w:rsidR="00856DA0" w:rsidRPr="009E4A02" w:rsidRDefault="00D540D7" w:rsidP="003B1C00">
      <w:pPr>
        <w:rPr>
          <w:sz w:val="22"/>
          <w:szCs w:val="22"/>
        </w:rPr>
      </w:pPr>
      <w:r w:rsidRPr="009E4A02">
        <w:rPr>
          <w:sz w:val="22"/>
          <w:szCs w:val="22"/>
        </w:rPr>
        <w:t xml:space="preserve">In this new proposal the voter population is balanced within </w:t>
      </w:r>
      <w:r w:rsidR="00DE51F5" w:rsidRPr="009E4A02">
        <w:rPr>
          <w:sz w:val="22"/>
          <w:szCs w:val="22"/>
        </w:rPr>
        <w:t xml:space="preserve">five </w:t>
      </w:r>
      <w:r w:rsidRPr="009E4A02">
        <w:rPr>
          <w:sz w:val="22"/>
          <w:szCs w:val="22"/>
        </w:rPr>
        <w:t xml:space="preserve">percent of </w:t>
      </w:r>
      <w:r w:rsidR="00DE51F5" w:rsidRPr="009E4A02">
        <w:rPr>
          <w:sz w:val="22"/>
          <w:szCs w:val="22"/>
        </w:rPr>
        <w:t>1/5 of the population of the county</w:t>
      </w:r>
      <w:r w:rsidR="006E6D7E" w:rsidRPr="009E4A02">
        <w:rPr>
          <w:sz w:val="22"/>
          <w:szCs w:val="22"/>
        </w:rPr>
        <w:t xml:space="preserve"> in </w:t>
      </w:r>
      <w:r w:rsidRPr="009E4A02">
        <w:rPr>
          <w:sz w:val="22"/>
          <w:szCs w:val="22"/>
        </w:rPr>
        <w:t xml:space="preserve">each division </w:t>
      </w:r>
      <w:r w:rsidR="00671A5C" w:rsidRPr="009E4A02">
        <w:rPr>
          <w:sz w:val="22"/>
          <w:szCs w:val="22"/>
        </w:rPr>
        <w:t>except for</w:t>
      </w:r>
      <w:r w:rsidR="006E6D7E" w:rsidRPr="009E4A02">
        <w:rPr>
          <w:sz w:val="22"/>
          <w:szCs w:val="22"/>
        </w:rPr>
        <w:t xml:space="preserve"> Division </w:t>
      </w:r>
      <w:r w:rsidR="003B1C00" w:rsidRPr="009E4A02">
        <w:rPr>
          <w:sz w:val="22"/>
          <w:szCs w:val="22"/>
        </w:rPr>
        <w:t>O</w:t>
      </w:r>
      <w:r w:rsidR="006E6D7E" w:rsidRPr="009E4A02">
        <w:rPr>
          <w:sz w:val="22"/>
          <w:szCs w:val="22"/>
        </w:rPr>
        <w:t>ne as noted earlier. This plan is</w:t>
      </w:r>
      <w:r w:rsidRPr="009E4A02">
        <w:rPr>
          <w:sz w:val="22"/>
          <w:szCs w:val="22"/>
        </w:rPr>
        <w:t xml:space="preserve"> acceptable </w:t>
      </w:r>
      <w:r w:rsidR="00111489" w:rsidRPr="009E4A02">
        <w:rPr>
          <w:sz w:val="22"/>
          <w:szCs w:val="22"/>
        </w:rPr>
        <w:t>according to Board of Elections</w:t>
      </w:r>
      <w:r w:rsidRPr="009E4A02">
        <w:rPr>
          <w:sz w:val="22"/>
          <w:szCs w:val="22"/>
        </w:rPr>
        <w:t xml:space="preserve"> guidance.  </w:t>
      </w:r>
      <w:r w:rsidR="00AB2E5D" w:rsidRPr="009E4A02">
        <w:rPr>
          <w:sz w:val="22"/>
          <w:szCs w:val="22"/>
        </w:rPr>
        <w:t xml:space="preserve"> </w:t>
      </w:r>
    </w:p>
    <w:p w14:paraId="3B734261" w14:textId="77777777" w:rsidR="00111489" w:rsidRPr="009E4A02" w:rsidRDefault="00111489" w:rsidP="003B1C00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250"/>
      </w:tblGrid>
      <w:tr w:rsidR="00111489" w:rsidRPr="009E4A02" w14:paraId="72D499FD" w14:textId="77777777" w:rsidTr="003B1C00">
        <w:tc>
          <w:tcPr>
            <w:tcW w:w="2538" w:type="dxa"/>
            <w:shd w:val="clear" w:color="auto" w:fill="BDD6EE" w:themeFill="accent5" w:themeFillTint="66"/>
          </w:tcPr>
          <w:p w14:paraId="4FC64DB7" w14:textId="77777777" w:rsidR="00111489" w:rsidRPr="009E4A02" w:rsidRDefault="00111489" w:rsidP="005E3ECC">
            <w:pPr>
              <w:rPr>
                <w:b/>
                <w:bCs/>
                <w:sz w:val="22"/>
                <w:szCs w:val="22"/>
              </w:rPr>
            </w:pPr>
            <w:r w:rsidRPr="009E4A02">
              <w:rPr>
                <w:b/>
                <w:bCs/>
                <w:sz w:val="22"/>
                <w:szCs w:val="22"/>
              </w:rPr>
              <w:t>Board Division</w:t>
            </w:r>
          </w:p>
        </w:tc>
        <w:tc>
          <w:tcPr>
            <w:tcW w:w="2250" w:type="dxa"/>
            <w:shd w:val="clear" w:color="auto" w:fill="BDD6EE" w:themeFill="accent5" w:themeFillTint="66"/>
          </w:tcPr>
          <w:p w14:paraId="05A05474" w14:textId="77777777" w:rsidR="00111489" w:rsidRPr="009E4A02" w:rsidRDefault="00111489" w:rsidP="005E3ECC">
            <w:pPr>
              <w:rPr>
                <w:b/>
                <w:bCs/>
                <w:sz w:val="22"/>
                <w:szCs w:val="22"/>
              </w:rPr>
            </w:pPr>
            <w:r w:rsidRPr="009E4A02">
              <w:rPr>
                <w:b/>
                <w:bCs/>
                <w:sz w:val="22"/>
                <w:szCs w:val="22"/>
              </w:rPr>
              <w:t>Population</w:t>
            </w:r>
          </w:p>
        </w:tc>
      </w:tr>
      <w:tr w:rsidR="00111489" w:rsidRPr="009E4A02" w14:paraId="42121C92" w14:textId="77777777" w:rsidTr="003B1C00">
        <w:tc>
          <w:tcPr>
            <w:tcW w:w="2538" w:type="dxa"/>
            <w:shd w:val="clear" w:color="auto" w:fill="auto"/>
          </w:tcPr>
          <w:p w14:paraId="6124736C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Division One</w:t>
            </w:r>
          </w:p>
        </w:tc>
        <w:tc>
          <w:tcPr>
            <w:tcW w:w="2250" w:type="dxa"/>
            <w:shd w:val="clear" w:color="auto" w:fill="auto"/>
          </w:tcPr>
          <w:p w14:paraId="4E6CE175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11,029</w:t>
            </w:r>
          </w:p>
        </w:tc>
      </w:tr>
      <w:tr w:rsidR="00111489" w:rsidRPr="009E4A02" w14:paraId="448500D1" w14:textId="77777777" w:rsidTr="003B1C00">
        <w:tc>
          <w:tcPr>
            <w:tcW w:w="2538" w:type="dxa"/>
            <w:shd w:val="clear" w:color="auto" w:fill="auto"/>
          </w:tcPr>
          <w:p w14:paraId="4BDEE96D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Division Two</w:t>
            </w:r>
          </w:p>
        </w:tc>
        <w:tc>
          <w:tcPr>
            <w:tcW w:w="2250" w:type="dxa"/>
            <w:shd w:val="clear" w:color="auto" w:fill="auto"/>
          </w:tcPr>
          <w:p w14:paraId="41ADD303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11,072</w:t>
            </w:r>
          </w:p>
        </w:tc>
      </w:tr>
      <w:tr w:rsidR="00111489" w:rsidRPr="009E4A02" w14:paraId="77C7D21F" w14:textId="77777777" w:rsidTr="003B1C00">
        <w:tc>
          <w:tcPr>
            <w:tcW w:w="2538" w:type="dxa"/>
            <w:shd w:val="clear" w:color="auto" w:fill="auto"/>
          </w:tcPr>
          <w:p w14:paraId="3D7D2CE4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Division Three</w:t>
            </w:r>
          </w:p>
        </w:tc>
        <w:tc>
          <w:tcPr>
            <w:tcW w:w="2250" w:type="dxa"/>
            <w:shd w:val="clear" w:color="auto" w:fill="auto"/>
          </w:tcPr>
          <w:p w14:paraId="062FEDF0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10,921</w:t>
            </w:r>
          </w:p>
        </w:tc>
      </w:tr>
      <w:tr w:rsidR="00111489" w:rsidRPr="009E4A02" w14:paraId="779A34EC" w14:textId="77777777" w:rsidTr="003B1C00">
        <w:tc>
          <w:tcPr>
            <w:tcW w:w="2538" w:type="dxa"/>
            <w:shd w:val="clear" w:color="auto" w:fill="auto"/>
          </w:tcPr>
          <w:p w14:paraId="47D4E978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Division Four</w:t>
            </w:r>
          </w:p>
        </w:tc>
        <w:tc>
          <w:tcPr>
            <w:tcW w:w="2250" w:type="dxa"/>
            <w:shd w:val="clear" w:color="auto" w:fill="auto"/>
          </w:tcPr>
          <w:p w14:paraId="4E0D8453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11,291</w:t>
            </w:r>
          </w:p>
        </w:tc>
      </w:tr>
      <w:tr w:rsidR="00111489" w:rsidRPr="009E4A02" w14:paraId="1DE9D8F9" w14:textId="77777777" w:rsidTr="003B1C00">
        <w:tc>
          <w:tcPr>
            <w:tcW w:w="2538" w:type="dxa"/>
            <w:shd w:val="clear" w:color="auto" w:fill="auto"/>
          </w:tcPr>
          <w:p w14:paraId="71ED3A97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Division Five</w:t>
            </w:r>
          </w:p>
        </w:tc>
        <w:tc>
          <w:tcPr>
            <w:tcW w:w="2250" w:type="dxa"/>
            <w:shd w:val="clear" w:color="auto" w:fill="auto"/>
          </w:tcPr>
          <w:p w14:paraId="34EDB29C" w14:textId="77777777" w:rsidR="00111489" w:rsidRPr="009E4A02" w:rsidRDefault="00111489" w:rsidP="005E3ECC">
            <w:pPr>
              <w:rPr>
                <w:sz w:val="22"/>
                <w:szCs w:val="22"/>
              </w:rPr>
            </w:pPr>
            <w:r w:rsidRPr="009E4A02">
              <w:rPr>
                <w:sz w:val="22"/>
                <w:szCs w:val="22"/>
              </w:rPr>
              <w:t>11,873</w:t>
            </w:r>
          </w:p>
        </w:tc>
      </w:tr>
    </w:tbl>
    <w:p w14:paraId="368EFB91" w14:textId="77777777" w:rsidR="00AB2E5D" w:rsidRPr="009E4A02" w:rsidRDefault="00AB2E5D" w:rsidP="003B1C00">
      <w:pPr>
        <w:rPr>
          <w:sz w:val="22"/>
          <w:szCs w:val="22"/>
        </w:rPr>
      </w:pPr>
    </w:p>
    <w:p w14:paraId="593A76B0" w14:textId="6F44D95A" w:rsidR="00856DA0" w:rsidRPr="009E4A02" w:rsidRDefault="00AB2E5D" w:rsidP="003B1C00">
      <w:pPr>
        <w:spacing w:after="240"/>
        <w:rPr>
          <w:sz w:val="22"/>
          <w:szCs w:val="22"/>
        </w:rPr>
      </w:pPr>
      <w:r w:rsidRPr="009E4A02">
        <w:rPr>
          <w:sz w:val="22"/>
          <w:szCs w:val="22"/>
        </w:rPr>
        <w:t>The DPP office will be available to answer any questions</w:t>
      </w:r>
      <w:r w:rsidR="00671A5C" w:rsidRPr="009E4A02">
        <w:rPr>
          <w:sz w:val="22"/>
          <w:szCs w:val="22"/>
        </w:rPr>
        <w:t>.</w:t>
      </w:r>
    </w:p>
    <w:p w14:paraId="10B652FF" w14:textId="0D6E7F96" w:rsidR="00856DA0" w:rsidRPr="009E4A02" w:rsidRDefault="00856DA0">
      <w:pPr>
        <w:rPr>
          <w:b/>
          <w:sz w:val="22"/>
          <w:szCs w:val="22"/>
        </w:rPr>
      </w:pPr>
      <w:r w:rsidRPr="009E4A02">
        <w:rPr>
          <w:b/>
          <w:sz w:val="22"/>
          <w:szCs w:val="22"/>
        </w:rPr>
        <w:t>RECOMMENDATION</w:t>
      </w:r>
    </w:p>
    <w:p w14:paraId="3D9AC5F2" w14:textId="1EC91BFB" w:rsidR="007B07D3" w:rsidRPr="009E4A02" w:rsidRDefault="00DB5B3D" w:rsidP="003B1C00">
      <w:pPr>
        <w:rPr>
          <w:sz w:val="22"/>
          <w:szCs w:val="22"/>
        </w:rPr>
      </w:pPr>
      <w:r w:rsidRPr="009E4A02">
        <w:rPr>
          <w:sz w:val="22"/>
          <w:szCs w:val="22"/>
        </w:rPr>
        <w:t xml:space="preserve">Consider approval of board member division </w:t>
      </w:r>
      <w:r w:rsidR="003B1C00" w:rsidRPr="009E4A02">
        <w:rPr>
          <w:sz w:val="22"/>
          <w:szCs w:val="22"/>
        </w:rPr>
        <w:t>boundaries. (2024)</w:t>
      </w:r>
      <w:r w:rsidR="00111489" w:rsidRPr="009E4A02">
        <w:rPr>
          <w:sz w:val="22"/>
          <w:szCs w:val="22"/>
        </w:rPr>
        <w:t xml:space="preserve"> </w:t>
      </w:r>
    </w:p>
    <w:p w14:paraId="27ED7FC6" w14:textId="77777777" w:rsidR="003B1C00" w:rsidRPr="009E4A02" w:rsidRDefault="003B1C00" w:rsidP="003B1C00">
      <w:pPr>
        <w:pBdr>
          <w:bottom w:val="single" w:sz="4" w:space="1" w:color="auto"/>
        </w:pBdr>
        <w:rPr>
          <w:sz w:val="22"/>
          <w:szCs w:val="22"/>
        </w:rPr>
      </w:pPr>
    </w:p>
    <w:p w14:paraId="6D257196" w14:textId="77777777" w:rsidR="003B1C00" w:rsidRDefault="003B1C00" w:rsidP="003B1C00"/>
    <w:p w14:paraId="5F58BC3D" w14:textId="77777777" w:rsidR="003B1C00" w:rsidRDefault="003B1C00" w:rsidP="003B1C00"/>
    <w:p w14:paraId="49371A08" w14:textId="42CE5F93" w:rsidR="00807556" w:rsidRDefault="00807556" w:rsidP="00807556">
      <w:pPr>
        <w:pStyle w:val="BodyText"/>
        <w:tabs>
          <w:tab w:val="left" w:pos="3173"/>
          <w:tab w:val="left" w:pos="6132"/>
        </w:tabs>
        <w:spacing w:line="252" w:lineRule="auto"/>
      </w:pPr>
      <w:r w:rsidRPr="00425E13">
        <w:t xml:space="preserve">On a motion by </w:t>
      </w:r>
      <w:sdt>
        <w:sdtPr>
          <w:rPr>
            <w:u w:val="single"/>
          </w:rPr>
          <w:id w:val="-1026633685"/>
          <w:placeholder>
            <w:docPart w:val="4C7E92DF319E4CF2864A52BB57C6AA7F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8A5254">
            <w:rPr>
              <w:u w:val="single"/>
            </w:rPr>
            <w:t>_______________</w:t>
          </w:r>
        </w:sdtContent>
      </w:sdt>
      <w:r w:rsidRPr="00425E13">
        <w:t xml:space="preserve">, seconded by </w:t>
      </w:r>
      <w:sdt>
        <w:sdtPr>
          <w:rPr>
            <w:u w:val="single"/>
          </w:rPr>
          <w:id w:val="-1609879275"/>
          <w:placeholder>
            <w:docPart w:val="D43B1B104A9C458EA568220C63C724F8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8A5254">
            <w:rPr>
              <w:u w:val="single"/>
            </w:rPr>
            <w:t>_______________</w:t>
          </w:r>
        </w:sdtContent>
      </w:sdt>
      <w:r w:rsidRPr="00425E13">
        <w:t>, the Board approved</w:t>
      </w:r>
      <w:r w:rsidRPr="00192327">
        <w:t xml:space="preserve"> </w:t>
      </w:r>
      <w:r w:rsidRPr="00054E91">
        <w:t>the</w:t>
      </w:r>
      <w:r w:rsidRPr="00807556">
        <w:t xml:space="preserve"> </w:t>
      </w:r>
      <w:r>
        <w:t>board member division boundaries. (2024)</w:t>
      </w:r>
      <w:r w:rsidRPr="00054E91">
        <w:t xml:space="preserve"> as presented.</w:t>
      </w:r>
      <w:r>
        <w:t xml:space="preserve"> </w:t>
      </w:r>
      <w:r w:rsidRPr="0002006F">
        <w:t>(</w:t>
      </w:r>
      <w:r w:rsidR="008A5254">
        <w:t xml:space="preserve"> </w:t>
      </w:r>
      <w:r w:rsidRPr="0002006F">
        <w:t>-</w:t>
      </w:r>
      <w:r w:rsidR="008A5254">
        <w:t xml:space="preserve"> </w:t>
      </w:r>
      <w:r w:rsidRPr="0002006F">
        <w:t>).</w:t>
      </w:r>
    </w:p>
    <w:p w14:paraId="13988D0C" w14:textId="3D99F240" w:rsidR="00807556" w:rsidRPr="007B401C" w:rsidRDefault="00AF5D80" w:rsidP="00807556">
      <w:pPr>
        <w:rPr>
          <w:u w:val="single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548BFEA4" wp14:editId="6E7DD568">
            <wp:simplePos x="0" y="0"/>
            <wp:positionH relativeFrom="margin">
              <wp:posOffset>-3506</wp:posOffset>
            </wp:positionH>
            <wp:positionV relativeFrom="paragraph">
              <wp:posOffset>144037</wp:posOffset>
            </wp:positionV>
            <wp:extent cx="2606040" cy="576072"/>
            <wp:effectExtent l="0" t="0" r="0" b="0"/>
            <wp:wrapNone/>
            <wp:docPr id="182254258" name="Picture 18225425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556" w:rsidRPr="009F38A6">
        <w:rPr>
          <w:noProof/>
        </w:rPr>
        <w:drawing>
          <wp:anchor distT="0" distB="0" distL="114300" distR="114300" simplePos="0" relativeHeight="251659264" behindDoc="0" locked="0" layoutInCell="1" allowOverlap="1" wp14:anchorId="43B008EA" wp14:editId="4A08A8DF">
            <wp:simplePos x="0" y="0"/>
            <wp:positionH relativeFrom="margin">
              <wp:posOffset>3371850</wp:posOffset>
            </wp:positionH>
            <wp:positionV relativeFrom="paragraph">
              <wp:posOffset>101600</wp:posOffset>
            </wp:positionV>
            <wp:extent cx="2286000" cy="915035"/>
            <wp:effectExtent l="0" t="0" r="0" b="0"/>
            <wp:wrapNone/>
            <wp:docPr id="811047838" name="Picture 81104783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99083" name="Picture 503899083" descr="A close-up of a signature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67C26D" w14:textId="77777777" w:rsidR="00807556" w:rsidRPr="007B401C" w:rsidRDefault="00807556" w:rsidP="00807556">
      <w:pPr>
        <w:rPr>
          <w:u w:val="single"/>
        </w:rPr>
      </w:pPr>
    </w:p>
    <w:p w14:paraId="4D9AAADC" w14:textId="77777777" w:rsidR="00807556" w:rsidRPr="007B401C" w:rsidRDefault="00807556" w:rsidP="00807556">
      <w:pPr>
        <w:rPr>
          <w:u w:val="single"/>
        </w:rPr>
      </w:pP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41999CE7" w14:textId="77777777" w:rsidR="00807556" w:rsidRPr="00E372F8" w:rsidRDefault="00807556" w:rsidP="00807556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770974">
        <w:rPr>
          <w:i/>
          <w:sz w:val="16"/>
          <w:szCs w:val="18"/>
        </w:rPr>
        <w:t>Board Chair</w:t>
      </w:r>
      <w:r w:rsidRPr="00770974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  <w:t>Jason Radford, Superintendent/Secretary</w:t>
      </w:r>
    </w:p>
    <w:p w14:paraId="3D2521BC" w14:textId="77777777" w:rsidR="00807556" w:rsidRPr="00054E91" w:rsidRDefault="00807556" w:rsidP="00807556">
      <w:pPr>
        <w:pStyle w:val="BodyText"/>
        <w:rPr>
          <w:b/>
          <w:i/>
        </w:rPr>
      </w:pPr>
    </w:p>
    <w:p w14:paraId="58CB5875" w14:textId="77777777" w:rsidR="003B1C00" w:rsidRDefault="003B1C00" w:rsidP="00807556">
      <w:pPr>
        <w:pStyle w:val="BodyText"/>
        <w:tabs>
          <w:tab w:val="left" w:pos="3173"/>
          <w:tab w:val="left" w:pos="6132"/>
        </w:tabs>
        <w:spacing w:line="252" w:lineRule="auto"/>
      </w:pPr>
    </w:p>
    <w:sectPr w:rsidR="003B1C00" w:rsidSect="003B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699D" w14:textId="77777777" w:rsidR="00AF5D80" w:rsidRDefault="00AF5D80" w:rsidP="00AF5D80">
      <w:r>
        <w:separator/>
      </w:r>
    </w:p>
  </w:endnote>
  <w:endnote w:type="continuationSeparator" w:id="0">
    <w:p w14:paraId="01A5A9E6" w14:textId="77777777" w:rsidR="00AF5D80" w:rsidRDefault="00AF5D80" w:rsidP="00AF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D4F9" w14:textId="77777777" w:rsidR="00AF5D80" w:rsidRDefault="00AF5D80" w:rsidP="00AF5D80">
      <w:r>
        <w:separator/>
      </w:r>
    </w:p>
  </w:footnote>
  <w:footnote w:type="continuationSeparator" w:id="0">
    <w:p w14:paraId="4ECC5CC8" w14:textId="77777777" w:rsidR="00AF5D80" w:rsidRDefault="00AF5D80" w:rsidP="00AF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65"/>
    <w:rsid w:val="00111489"/>
    <w:rsid w:val="001B476C"/>
    <w:rsid w:val="002D1957"/>
    <w:rsid w:val="00350994"/>
    <w:rsid w:val="003A319B"/>
    <w:rsid w:val="003B1C00"/>
    <w:rsid w:val="003B7C1F"/>
    <w:rsid w:val="004C13DF"/>
    <w:rsid w:val="00553487"/>
    <w:rsid w:val="0057266B"/>
    <w:rsid w:val="005E3ECC"/>
    <w:rsid w:val="00671A5C"/>
    <w:rsid w:val="006D357A"/>
    <w:rsid w:val="006E6D7E"/>
    <w:rsid w:val="006F4B67"/>
    <w:rsid w:val="007B07D3"/>
    <w:rsid w:val="00807556"/>
    <w:rsid w:val="00813B65"/>
    <w:rsid w:val="00856DA0"/>
    <w:rsid w:val="008A5254"/>
    <w:rsid w:val="00925CAA"/>
    <w:rsid w:val="00942261"/>
    <w:rsid w:val="009E4A02"/>
    <w:rsid w:val="00AB2E5D"/>
    <w:rsid w:val="00AF5D80"/>
    <w:rsid w:val="00CA4428"/>
    <w:rsid w:val="00CC4F32"/>
    <w:rsid w:val="00D51C40"/>
    <w:rsid w:val="00D540D7"/>
    <w:rsid w:val="00DB5B3D"/>
    <w:rsid w:val="00DE51F5"/>
    <w:rsid w:val="00E620E3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2F880"/>
  <w15:chartTrackingRefBased/>
  <w15:docId w15:val="{979729DA-53C1-43F6-94AA-C1573E34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1C00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B1C0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5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D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E92DF319E4CF2864A52BB57C6A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0AC8-AC5F-4B12-92CC-0019E1B5CBD5}"/>
      </w:docPartPr>
      <w:docPartBody>
        <w:p w:rsidR="006A10BC" w:rsidRDefault="006A10BC" w:rsidP="006A10BC">
          <w:pPr>
            <w:pStyle w:val="4C7E92DF319E4CF2864A52BB57C6AA7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43B1B104A9C458EA568220C63C7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EC4E-B3DB-46B2-A4BB-488099F9EE6B}"/>
      </w:docPartPr>
      <w:docPartBody>
        <w:p w:rsidR="006A10BC" w:rsidRDefault="006A10BC" w:rsidP="006A10BC">
          <w:pPr>
            <w:pStyle w:val="D43B1B104A9C458EA568220C63C724F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BC"/>
    <w:rsid w:val="006A10BC"/>
    <w:rsid w:val="00B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4F9"/>
  </w:style>
  <w:style w:type="paragraph" w:customStyle="1" w:styleId="4C7E92DF319E4CF2864A52BB57C6AA7F">
    <w:name w:val="4C7E92DF319E4CF2864A52BB57C6AA7F"/>
    <w:rsid w:val="006A10BC"/>
  </w:style>
  <w:style w:type="paragraph" w:customStyle="1" w:styleId="D43B1B104A9C458EA568220C63C724F8">
    <w:name w:val="D43B1B104A9C458EA568220C63C724F8"/>
    <w:rsid w:val="006A10BC"/>
  </w:style>
  <w:style w:type="paragraph" w:customStyle="1" w:styleId="1FEF276E6DBE40C790E7ADA65D922371">
    <w:name w:val="1FEF276E6DBE40C790E7ADA65D922371"/>
    <w:rsid w:val="00BC04F9"/>
    <w:pPr>
      <w:spacing w:line="278" w:lineRule="auto"/>
    </w:pPr>
    <w:rPr>
      <w:sz w:val="24"/>
      <w:szCs w:val="24"/>
    </w:rPr>
  </w:style>
  <w:style w:type="paragraph" w:customStyle="1" w:styleId="CC5EAA31AE99469EBF1D25860F40BE92">
    <w:name w:val="CC5EAA31AE99469EBF1D25860F40BE92"/>
    <w:rsid w:val="00BC04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Z</vt:lpstr>
    </vt:vector>
  </TitlesOfParts>
  <Company>Oldham County Board of Education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Z</dc:title>
  <dc:subject/>
  <dc:creator>Williams, Michael</dc:creator>
  <cp:keywords/>
  <cp:lastModifiedBy>Easton, Jane S</cp:lastModifiedBy>
  <cp:revision>8</cp:revision>
  <cp:lastPrinted>2024-01-11T14:20:00Z</cp:lastPrinted>
  <dcterms:created xsi:type="dcterms:W3CDTF">2024-01-05T15:31:00Z</dcterms:created>
  <dcterms:modified xsi:type="dcterms:W3CDTF">2024-01-16T16:39:00Z</dcterms:modified>
</cp:coreProperties>
</file>