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6CC7" w14:textId="77777777" w:rsidR="005745F2" w:rsidRDefault="005745F2" w:rsidP="005745F2">
      <w:pPr>
        <w:pStyle w:val="Body"/>
        <w:jc w:val="center"/>
        <w:rPr>
          <w:rFonts w:ascii="Calibri" w:eastAsia="Times New Roman" w:hAnsi="Calibri"/>
          <w:b/>
          <w:bCs/>
          <w:sz w:val="40"/>
          <w:szCs w:val="40"/>
        </w:rPr>
      </w:pPr>
      <w:r>
        <w:rPr>
          <w:rFonts w:ascii="Calibri" w:eastAsia="Times New Roman" w:hAnsi="Calibri"/>
          <w:b/>
          <w:bCs/>
          <w:sz w:val="40"/>
          <w:szCs w:val="40"/>
        </w:rPr>
        <w:t>PROFESSIONAL GROWTH PLAN (PGP)</w:t>
      </w:r>
    </w:p>
    <w:p w14:paraId="625DE7DE" w14:textId="79FAE470" w:rsidR="00C020A5" w:rsidRDefault="00ED1C24" w:rsidP="00ED1C24">
      <w:pPr>
        <w:pStyle w:val="Body"/>
        <w:ind w:left="3600" w:firstLine="720"/>
        <w:rPr>
          <w:rFonts w:ascii="Calibri" w:eastAsia="Times New Roman" w:hAnsi="Calibri"/>
          <w:b/>
          <w:bCs/>
          <w:sz w:val="40"/>
          <w:szCs w:val="40"/>
        </w:rPr>
      </w:pPr>
      <w:r>
        <w:rPr>
          <w:rFonts w:ascii="Calibri" w:eastAsia="Times New Roman" w:hAnsi="Calibri"/>
          <w:b/>
          <w:bCs/>
          <w:sz w:val="40"/>
          <w:szCs w:val="40"/>
        </w:rPr>
        <w:t xml:space="preserve">  2</w:t>
      </w:r>
      <w:r w:rsidR="005745F2">
        <w:rPr>
          <w:rFonts w:ascii="Calibri" w:eastAsia="Times New Roman" w:hAnsi="Calibri"/>
          <w:b/>
          <w:bCs/>
          <w:sz w:val="40"/>
          <w:szCs w:val="40"/>
        </w:rPr>
        <w:t>0</w:t>
      </w:r>
      <w:r w:rsidR="006646D8">
        <w:rPr>
          <w:rFonts w:ascii="Calibri" w:eastAsia="Times New Roman" w:hAnsi="Calibri"/>
          <w:b/>
          <w:bCs/>
          <w:sz w:val="40"/>
          <w:szCs w:val="40"/>
        </w:rPr>
        <w:t>2</w:t>
      </w:r>
      <w:r w:rsidR="00397FEF">
        <w:rPr>
          <w:rFonts w:ascii="Calibri" w:eastAsia="Times New Roman" w:hAnsi="Calibri"/>
          <w:b/>
          <w:bCs/>
          <w:sz w:val="40"/>
          <w:szCs w:val="40"/>
        </w:rPr>
        <w:t>3</w:t>
      </w:r>
      <w:r w:rsidR="006646D8">
        <w:rPr>
          <w:rFonts w:ascii="Calibri" w:eastAsia="Times New Roman" w:hAnsi="Calibri"/>
          <w:b/>
          <w:bCs/>
          <w:sz w:val="40"/>
          <w:szCs w:val="40"/>
        </w:rPr>
        <w:t>-2</w:t>
      </w:r>
      <w:r w:rsidR="00397FEF">
        <w:rPr>
          <w:rFonts w:ascii="Calibri" w:eastAsia="Times New Roman" w:hAnsi="Calibri"/>
          <w:b/>
          <w:bCs/>
          <w:sz w:val="40"/>
          <w:szCs w:val="40"/>
        </w:rPr>
        <w:t>024</w:t>
      </w:r>
    </w:p>
    <w:p w14:paraId="79C02DCE" w14:textId="77777777" w:rsidR="005745F2" w:rsidRDefault="005745F2" w:rsidP="005745F2">
      <w:pPr>
        <w:pStyle w:val="Body"/>
        <w:jc w:val="center"/>
        <w:rPr>
          <w:rFonts w:ascii="Calibri" w:eastAsia="Times New Roman" w:hAnsi="Calibri"/>
          <w:b/>
          <w:bCs/>
          <w:sz w:val="40"/>
          <w:szCs w:val="40"/>
        </w:rPr>
      </w:pPr>
    </w:p>
    <w:p w14:paraId="4E40DE66" w14:textId="4EEDFD9B" w:rsidR="005745F2" w:rsidRDefault="005745F2" w:rsidP="002A1B7D">
      <w:pPr>
        <w:pStyle w:val="Body"/>
        <w:rPr>
          <w:rFonts w:ascii="Calibri" w:eastAsia="Times New Roman" w:hAnsi="Calibri"/>
          <w:sz w:val="28"/>
          <w:szCs w:val="28"/>
        </w:rPr>
      </w:pPr>
      <w:r w:rsidRPr="002A1B7D">
        <w:rPr>
          <w:rFonts w:ascii="Calibri" w:eastAsia="Times New Roman" w:hAnsi="Calibri"/>
          <w:sz w:val="28"/>
          <w:szCs w:val="28"/>
          <w:u w:val="single"/>
        </w:rPr>
        <w:t>____</w:t>
      </w:r>
      <w:r w:rsidR="002A1B7D" w:rsidRPr="002A1B7D">
        <w:rPr>
          <w:rFonts w:ascii="Calibri" w:eastAsia="Times New Roman" w:hAnsi="Calibri"/>
          <w:sz w:val="28"/>
          <w:szCs w:val="28"/>
          <w:u w:val="single"/>
        </w:rPr>
        <w:t>Jason Booher</w:t>
      </w:r>
      <w:r w:rsidRPr="002A1B7D">
        <w:rPr>
          <w:rFonts w:ascii="Calibri" w:eastAsia="Times New Roman" w:hAnsi="Calibri"/>
          <w:sz w:val="28"/>
          <w:szCs w:val="28"/>
          <w:u w:val="single"/>
        </w:rPr>
        <w:t>______________</w:t>
      </w:r>
      <w:r>
        <w:rPr>
          <w:rFonts w:ascii="Calibri" w:eastAsia="Times New Roman" w:hAnsi="Calibri"/>
          <w:sz w:val="28"/>
          <w:szCs w:val="28"/>
        </w:rPr>
        <w:tab/>
      </w:r>
      <w:r>
        <w:rPr>
          <w:rFonts w:ascii="Calibri" w:eastAsia="Times New Roman" w:hAnsi="Calibri"/>
          <w:sz w:val="28"/>
          <w:szCs w:val="28"/>
        </w:rPr>
        <w:tab/>
      </w:r>
      <w:r>
        <w:rPr>
          <w:rFonts w:ascii="Calibri" w:eastAsia="Times New Roman" w:hAnsi="Calibri"/>
          <w:sz w:val="28"/>
          <w:szCs w:val="28"/>
        </w:rPr>
        <w:tab/>
      </w:r>
      <w:r>
        <w:rPr>
          <w:rFonts w:ascii="Calibri" w:eastAsia="Times New Roman" w:hAnsi="Calibri"/>
          <w:sz w:val="28"/>
          <w:szCs w:val="28"/>
        </w:rPr>
        <w:tab/>
        <w:t>_____</w:t>
      </w:r>
      <w:r w:rsidR="002A1B7D">
        <w:rPr>
          <w:rFonts w:ascii="Calibri" w:eastAsia="Times New Roman" w:hAnsi="Calibri"/>
          <w:sz w:val="28"/>
          <w:szCs w:val="28"/>
        </w:rPr>
        <w:t>Mercer County</w:t>
      </w:r>
      <w:r>
        <w:rPr>
          <w:rFonts w:ascii="Calibri" w:eastAsia="Times New Roman" w:hAnsi="Calibri"/>
          <w:sz w:val="28"/>
          <w:szCs w:val="28"/>
        </w:rPr>
        <w:t>___________</w:t>
      </w:r>
    </w:p>
    <w:p w14:paraId="653F8667" w14:textId="3363BA25" w:rsidR="005745F2" w:rsidRDefault="005745F2" w:rsidP="005745F2">
      <w:pPr>
        <w:pStyle w:val="Body"/>
        <w:rPr>
          <w:rFonts w:ascii="Calibri" w:eastAsia="Times New Roman" w:hAnsi="Calibri"/>
          <w:sz w:val="22"/>
          <w:szCs w:val="22"/>
        </w:rPr>
      </w:pPr>
      <w:r>
        <w:rPr>
          <w:rFonts w:ascii="Calibri" w:eastAsia="Times New Roman" w:hAnsi="Calibri"/>
          <w:sz w:val="22"/>
          <w:szCs w:val="22"/>
        </w:rPr>
        <w:t xml:space="preserve">                       Name</w:t>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t>District</w:t>
      </w:r>
    </w:p>
    <w:p w14:paraId="0539F90A" w14:textId="6E36E010" w:rsidR="005745F2" w:rsidRDefault="00397FEF" w:rsidP="005745F2">
      <w:pPr>
        <w:pStyle w:val="Body"/>
        <w:rPr>
          <w:rFonts w:ascii="Calibri" w:eastAsia="Times New Roman" w:hAnsi="Calibri"/>
          <w:sz w:val="22"/>
          <w:szCs w:val="22"/>
        </w:rPr>
      </w:pPr>
      <w:r>
        <w:rPr>
          <w:rFonts w:ascii="Calibri" w:eastAsia="Times New Roman" w:hAnsi="Calibri"/>
          <w:sz w:val="22"/>
          <w:szCs w:val="22"/>
        </w:rPr>
        <w:t>September 19, 2023</w:t>
      </w:r>
    </w:p>
    <w:p w14:paraId="3733C238" w14:textId="18CC9EFE" w:rsidR="005745F2" w:rsidRDefault="005745F2" w:rsidP="005745F2">
      <w:pPr>
        <w:pStyle w:val="Body"/>
        <w:rPr>
          <w:rFonts w:ascii="Calibri" w:eastAsia="Times New Roman" w:hAnsi="Calibri"/>
          <w:sz w:val="22"/>
          <w:szCs w:val="22"/>
        </w:rPr>
      </w:pPr>
      <w:r>
        <w:rPr>
          <w:rFonts w:ascii="Calibri" w:eastAsia="Times New Roman" w:hAnsi="Calibri"/>
          <w:sz w:val="22"/>
          <w:szCs w:val="22"/>
        </w:rPr>
        <w:t>_____________________________________</w:t>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t>________________________________</w:t>
      </w:r>
    </w:p>
    <w:p w14:paraId="3463575F" w14:textId="1EAA43F8" w:rsidR="005745F2" w:rsidRPr="005745F2" w:rsidRDefault="005745F2" w:rsidP="005745F2">
      <w:pPr>
        <w:pStyle w:val="Body"/>
        <w:rPr>
          <w:rFonts w:ascii="Calibri" w:eastAsia="Times New Roman" w:hAnsi="Calibri"/>
          <w:sz w:val="22"/>
          <w:szCs w:val="22"/>
        </w:rPr>
      </w:pPr>
      <w:r>
        <w:rPr>
          <w:rFonts w:ascii="Calibri" w:eastAsia="Times New Roman" w:hAnsi="Calibri"/>
          <w:sz w:val="22"/>
          <w:szCs w:val="22"/>
        </w:rPr>
        <w:t xml:space="preserve"> </w:t>
      </w:r>
      <w:r>
        <w:rPr>
          <w:rFonts w:ascii="Calibri" w:eastAsia="Times New Roman" w:hAnsi="Calibri"/>
          <w:sz w:val="22"/>
          <w:szCs w:val="22"/>
        </w:rPr>
        <w:tab/>
        <w:t xml:space="preserve">Board </w:t>
      </w:r>
      <w:r w:rsidR="00132FAF">
        <w:rPr>
          <w:rFonts w:ascii="Calibri" w:eastAsia="Times New Roman" w:hAnsi="Calibri"/>
          <w:sz w:val="22"/>
          <w:szCs w:val="22"/>
        </w:rPr>
        <w:t xml:space="preserve">Initial </w:t>
      </w:r>
      <w:r>
        <w:rPr>
          <w:rFonts w:ascii="Calibri" w:eastAsia="Times New Roman" w:hAnsi="Calibri"/>
          <w:sz w:val="22"/>
          <w:szCs w:val="22"/>
        </w:rPr>
        <w:t>Approval Date</w:t>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r>
      <w:r>
        <w:rPr>
          <w:rFonts w:ascii="Calibri" w:eastAsia="Times New Roman" w:hAnsi="Calibri"/>
          <w:sz w:val="22"/>
          <w:szCs w:val="22"/>
        </w:rPr>
        <w:tab/>
        <w:t xml:space="preserve">   Board Completion Date</w:t>
      </w:r>
    </w:p>
    <w:p w14:paraId="2093EE0D" w14:textId="77777777" w:rsidR="005745F2" w:rsidRDefault="005745F2" w:rsidP="00C8187F">
      <w:pPr>
        <w:pStyle w:val="Body"/>
        <w:rPr>
          <w:rFonts w:ascii="Calibri" w:eastAsia="Times New Roman" w:hAnsi="Calibri"/>
          <w:szCs w:val="24"/>
        </w:rPr>
      </w:pPr>
    </w:p>
    <w:p w14:paraId="2D5CB759" w14:textId="7B4FC58F" w:rsidR="00ED1C24" w:rsidRDefault="000625CB" w:rsidP="00C8187F">
      <w:pPr>
        <w:pStyle w:val="Body"/>
        <w:rPr>
          <w:rFonts w:ascii="Calibri" w:eastAsia="Times New Roman" w:hAnsi="Calibri"/>
          <w:szCs w:val="24"/>
        </w:rPr>
      </w:pPr>
      <w:r>
        <w:rPr>
          <w:rFonts w:ascii="Calibri" w:eastAsia="Times New Roman" w:hAnsi="Calibri"/>
          <w:szCs w:val="24"/>
        </w:rPr>
        <w:t>While it is understood that t</w:t>
      </w:r>
      <w:r w:rsidR="00C020A5" w:rsidRPr="009F1E41">
        <w:rPr>
          <w:rFonts w:ascii="Calibri" w:eastAsia="Times New Roman" w:hAnsi="Calibri"/>
          <w:szCs w:val="24"/>
        </w:rPr>
        <w:t xml:space="preserve">he Superintendent will be evaluated on all </w:t>
      </w:r>
      <w:r>
        <w:rPr>
          <w:rFonts w:ascii="Calibri" w:eastAsia="Times New Roman" w:hAnsi="Calibri"/>
          <w:szCs w:val="24"/>
        </w:rPr>
        <w:t>seven</w:t>
      </w:r>
      <w:r w:rsidR="00C020A5" w:rsidRPr="009F1E41">
        <w:rPr>
          <w:rFonts w:ascii="Calibri" w:eastAsia="Times New Roman" w:hAnsi="Calibri"/>
          <w:szCs w:val="24"/>
        </w:rPr>
        <w:t xml:space="preserve"> standards</w:t>
      </w:r>
      <w:r>
        <w:rPr>
          <w:rFonts w:ascii="Calibri" w:eastAsia="Times New Roman" w:hAnsi="Calibri"/>
          <w:szCs w:val="24"/>
        </w:rPr>
        <w:t>, the Professional Growth Plan (PGP) provides an opportunity to narrow the focus and provide greater depth. During the 20</w:t>
      </w:r>
      <w:r w:rsidR="006646D8">
        <w:rPr>
          <w:rFonts w:ascii="Calibri" w:eastAsia="Times New Roman" w:hAnsi="Calibri"/>
          <w:szCs w:val="24"/>
        </w:rPr>
        <w:t>2</w:t>
      </w:r>
      <w:r w:rsidR="00AD0FE5">
        <w:rPr>
          <w:rFonts w:ascii="Calibri" w:eastAsia="Times New Roman" w:hAnsi="Calibri"/>
          <w:szCs w:val="24"/>
        </w:rPr>
        <w:t>1</w:t>
      </w:r>
      <w:r w:rsidR="006646D8">
        <w:rPr>
          <w:rFonts w:ascii="Calibri" w:eastAsia="Times New Roman" w:hAnsi="Calibri"/>
          <w:szCs w:val="24"/>
        </w:rPr>
        <w:t>-202</w:t>
      </w:r>
      <w:r w:rsidR="00AD0FE5">
        <w:rPr>
          <w:rFonts w:ascii="Calibri" w:eastAsia="Times New Roman" w:hAnsi="Calibri"/>
          <w:szCs w:val="24"/>
        </w:rPr>
        <w:t>2</w:t>
      </w:r>
      <w:r>
        <w:rPr>
          <w:rFonts w:ascii="Calibri" w:eastAsia="Times New Roman" w:hAnsi="Calibri"/>
          <w:szCs w:val="24"/>
        </w:rPr>
        <w:t xml:space="preserve"> school year, the S</w:t>
      </w:r>
      <w:r w:rsidR="00C020A5" w:rsidRPr="009F1E41">
        <w:rPr>
          <w:rFonts w:ascii="Calibri" w:eastAsia="Times New Roman" w:hAnsi="Calibri"/>
          <w:szCs w:val="24"/>
        </w:rPr>
        <w:t>up</w:t>
      </w:r>
      <w:r w:rsidR="00F9244C" w:rsidRPr="009F1E41">
        <w:rPr>
          <w:rFonts w:ascii="Calibri" w:eastAsia="Times New Roman" w:hAnsi="Calibri"/>
          <w:szCs w:val="24"/>
        </w:rPr>
        <w:t>erintendent will focus</w:t>
      </w:r>
      <w:r w:rsidR="00E64217">
        <w:rPr>
          <w:rFonts w:ascii="Calibri" w:eastAsia="Times New Roman" w:hAnsi="Calibri"/>
          <w:szCs w:val="24"/>
        </w:rPr>
        <w:t xml:space="preserve"> on</w:t>
      </w:r>
      <w:r>
        <w:rPr>
          <w:rFonts w:ascii="Calibri" w:eastAsia="Times New Roman" w:hAnsi="Calibri"/>
          <w:szCs w:val="24"/>
        </w:rPr>
        <w:t xml:space="preserve"> the following</w:t>
      </w:r>
      <w:r w:rsidR="00E64217">
        <w:rPr>
          <w:rFonts w:ascii="Calibri" w:eastAsia="Times New Roman" w:hAnsi="Calibri"/>
          <w:szCs w:val="24"/>
        </w:rPr>
        <w:t xml:space="preserve"> S</w:t>
      </w:r>
      <w:r w:rsidR="00F9244C" w:rsidRPr="009F1E41">
        <w:rPr>
          <w:rFonts w:ascii="Calibri" w:eastAsia="Times New Roman" w:hAnsi="Calibri"/>
          <w:szCs w:val="24"/>
        </w:rPr>
        <w:t>tandard</w:t>
      </w:r>
      <w:r w:rsidR="00E47B22">
        <w:rPr>
          <w:rFonts w:ascii="Calibri" w:eastAsia="Times New Roman" w:hAnsi="Calibri"/>
          <w:szCs w:val="24"/>
        </w:rPr>
        <w:t>(s)</w:t>
      </w:r>
      <w:r w:rsidR="00C020A5" w:rsidRPr="009F1E41">
        <w:rPr>
          <w:rFonts w:ascii="Calibri" w:eastAsia="Times New Roman" w:hAnsi="Calibri"/>
          <w:szCs w:val="24"/>
        </w:rPr>
        <w:t xml:space="preserve"> </w:t>
      </w:r>
      <w:r>
        <w:rPr>
          <w:rFonts w:ascii="Calibri" w:eastAsia="Times New Roman" w:hAnsi="Calibri"/>
          <w:szCs w:val="24"/>
        </w:rPr>
        <w:t>in the PGP.</w:t>
      </w:r>
    </w:p>
    <w:p w14:paraId="25A94FEB" w14:textId="77777777" w:rsidR="00AE6ED3" w:rsidRDefault="00AE6ED3" w:rsidP="00A43952">
      <w:pPr>
        <w:ind w:left="360"/>
        <w:rPr>
          <w:color w:val="0070C0"/>
        </w:rPr>
      </w:pPr>
    </w:p>
    <w:tbl>
      <w:tblPr>
        <w:tblStyle w:val="TableGrid"/>
        <w:tblW w:w="0" w:type="auto"/>
        <w:tblInd w:w="108" w:type="dxa"/>
        <w:tblLook w:val="04A0" w:firstRow="1" w:lastRow="0" w:firstColumn="1" w:lastColumn="0" w:noHBand="0" w:noVBand="1"/>
      </w:tblPr>
      <w:tblGrid>
        <w:gridCol w:w="3329"/>
        <w:gridCol w:w="2872"/>
        <w:gridCol w:w="2394"/>
        <w:gridCol w:w="2087"/>
      </w:tblGrid>
      <w:tr w:rsidR="00E64217" w:rsidRPr="00A6683B" w14:paraId="529572CA" w14:textId="021AEC6F" w:rsidTr="00E64217">
        <w:tc>
          <w:tcPr>
            <w:tcW w:w="3341" w:type="dxa"/>
          </w:tcPr>
          <w:p w14:paraId="04413D92" w14:textId="77777777" w:rsidR="00E64217" w:rsidRPr="00C8187F" w:rsidRDefault="00E64217" w:rsidP="00A43952">
            <w:pPr>
              <w:jc w:val="center"/>
              <w:rPr>
                <w:rFonts w:asciiTheme="majorHAnsi" w:hAnsiTheme="majorHAnsi"/>
                <w:b/>
              </w:rPr>
            </w:pPr>
            <w:r w:rsidRPr="00C8187F">
              <w:rPr>
                <w:rFonts w:asciiTheme="majorHAnsi" w:hAnsiTheme="majorHAnsi"/>
                <w:b/>
              </w:rPr>
              <w:t>Standard and Goal</w:t>
            </w:r>
          </w:p>
        </w:tc>
        <w:tc>
          <w:tcPr>
            <w:tcW w:w="2881" w:type="dxa"/>
          </w:tcPr>
          <w:p w14:paraId="55E3B1AD" w14:textId="28C0E0C0" w:rsidR="00E64217" w:rsidRPr="00C8187F" w:rsidRDefault="00E64217" w:rsidP="00A43952">
            <w:pPr>
              <w:jc w:val="center"/>
              <w:rPr>
                <w:rFonts w:asciiTheme="majorHAnsi" w:hAnsiTheme="majorHAnsi"/>
                <w:b/>
              </w:rPr>
            </w:pPr>
            <w:r w:rsidRPr="00C8187F">
              <w:rPr>
                <w:rFonts w:asciiTheme="majorHAnsi" w:hAnsiTheme="majorHAnsi"/>
                <w:b/>
              </w:rPr>
              <w:t xml:space="preserve">Actions that Demonstrate </w:t>
            </w:r>
            <w:r>
              <w:rPr>
                <w:rFonts w:asciiTheme="majorHAnsi" w:hAnsiTheme="majorHAnsi"/>
                <w:b/>
              </w:rPr>
              <w:t xml:space="preserve">the </w:t>
            </w:r>
            <w:r w:rsidRPr="00C8187F">
              <w:rPr>
                <w:rFonts w:asciiTheme="majorHAnsi" w:hAnsiTheme="majorHAnsi"/>
                <w:b/>
              </w:rPr>
              <w:t>Standard</w:t>
            </w:r>
          </w:p>
        </w:tc>
        <w:tc>
          <w:tcPr>
            <w:tcW w:w="2397" w:type="dxa"/>
          </w:tcPr>
          <w:p w14:paraId="1B241710" w14:textId="38927A25" w:rsidR="00E64217" w:rsidRPr="003647A7" w:rsidRDefault="00E64217" w:rsidP="00A43952">
            <w:pPr>
              <w:jc w:val="center"/>
              <w:rPr>
                <w:rFonts w:asciiTheme="majorHAnsi" w:hAnsiTheme="majorHAnsi"/>
                <w:b/>
                <w:color w:val="C00000"/>
              </w:rPr>
            </w:pPr>
            <w:r w:rsidRPr="00C8187F">
              <w:rPr>
                <w:rFonts w:asciiTheme="majorHAnsi" w:hAnsiTheme="majorHAnsi"/>
                <w:b/>
              </w:rPr>
              <w:t>Evidence/Artifacts</w:t>
            </w:r>
            <w:r>
              <w:rPr>
                <w:rFonts w:asciiTheme="majorHAnsi" w:hAnsiTheme="majorHAnsi"/>
                <w:b/>
              </w:rPr>
              <w:t xml:space="preserve">                  </w:t>
            </w:r>
            <w:r>
              <w:rPr>
                <w:rFonts w:asciiTheme="majorHAnsi" w:hAnsiTheme="majorHAnsi"/>
                <w:b/>
                <w:color w:val="C00000"/>
              </w:rPr>
              <w:t xml:space="preserve"> </w:t>
            </w:r>
          </w:p>
        </w:tc>
        <w:tc>
          <w:tcPr>
            <w:tcW w:w="2063" w:type="dxa"/>
          </w:tcPr>
          <w:p w14:paraId="5DED1386" w14:textId="233B64B0" w:rsidR="00E64217" w:rsidRPr="00C8187F" w:rsidRDefault="00E64217" w:rsidP="00A43952">
            <w:pPr>
              <w:jc w:val="center"/>
              <w:rPr>
                <w:rFonts w:asciiTheme="majorHAnsi" w:hAnsiTheme="majorHAnsi"/>
                <w:b/>
              </w:rPr>
            </w:pPr>
            <w:r>
              <w:rPr>
                <w:rFonts w:asciiTheme="majorHAnsi" w:hAnsiTheme="majorHAnsi"/>
                <w:b/>
              </w:rPr>
              <w:t>Dates Initiated/Completed</w:t>
            </w:r>
          </w:p>
        </w:tc>
      </w:tr>
      <w:tr w:rsidR="00E64217" w:rsidRPr="00A6683B" w14:paraId="54A1CC4B" w14:textId="6B12D42C" w:rsidTr="00E64217">
        <w:tc>
          <w:tcPr>
            <w:tcW w:w="3341" w:type="dxa"/>
          </w:tcPr>
          <w:p w14:paraId="200BEF19" w14:textId="7CB3FA10" w:rsidR="008442A9" w:rsidRDefault="002A1B7D" w:rsidP="00397FEF">
            <w:pPr>
              <w:pStyle w:val="Body"/>
              <w:jc w:val="center"/>
              <w:rPr>
                <w:rFonts w:ascii="Times New Roman" w:hAnsi="Times New Roman"/>
                <w:b/>
                <w:color w:val="auto"/>
                <w:sz w:val="20"/>
              </w:rPr>
            </w:pPr>
            <w:r w:rsidRPr="00397FEF">
              <w:rPr>
                <w:rFonts w:ascii="Times New Roman" w:hAnsi="Times New Roman"/>
                <w:b/>
                <w:color w:val="auto"/>
                <w:sz w:val="20"/>
              </w:rPr>
              <w:t xml:space="preserve">Standard </w:t>
            </w:r>
            <w:r w:rsidR="00397FEF" w:rsidRPr="00397FEF">
              <w:rPr>
                <w:rFonts w:ascii="Times New Roman" w:hAnsi="Times New Roman"/>
                <w:b/>
                <w:color w:val="auto"/>
                <w:sz w:val="20"/>
              </w:rPr>
              <w:t>2</w:t>
            </w:r>
          </w:p>
          <w:p w14:paraId="6C5DF346" w14:textId="77777777" w:rsidR="00397FEF" w:rsidRPr="00397FEF" w:rsidRDefault="00397FEF" w:rsidP="00397FEF">
            <w:pPr>
              <w:pStyle w:val="Body"/>
              <w:jc w:val="center"/>
              <w:rPr>
                <w:rFonts w:ascii="Times New Roman" w:hAnsi="Times New Roman"/>
                <w:b/>
                <w:color w:val="auto"/>
                <w:sz w:val="20"/>
              </w:rPr>
            </w:pPr>
          </w:p>
          <w:p w14:paraId="0871348A" w14:textId="2C6540F1" w:rsidR="008442A9" w:rsidRPr="00397FEF" w:rsidRDefault="00397FEF" w:rsidP="008442A9">
            <w:pPr>
              <w:pStyle w:val="Body"/>
              <w:rPr>
                <w:rFonts w:ascii="Times New Roman" w:hAnsi="Times New Roman"/>
                <w:sz w:val="20"/>
                <w:u w:val="single"/>
              </w:rPr>
            </w:pPr>
            <w:r w:rsidRPr="00397FEF">
              <w:rPr>
                <w:rFonts w:ascii="Times New Roman" w:hAnsi="Times New Roman"/>
                <w:b/>
                <w:color w:val="auto"/>
                <w:sz w:val="20"/>
                <w:u w:val="single"/>
              </w:rPr>
              <w:t>Instructional</w:t>
            </w:r>
            <w:r w:rsidR="002A1B7D" w:rsidRPr="00397FEF">
              <w:rPr>
                <w:rFonts w:ascii="Times New Roman" w:hAnsi="Times New Roman"/>
                <w:b/>
                <w:color w:val="auto"/>
                <w:sz w:val="20"/>
                <w:u w:val="single"/>
              </w:rPr>
              <w:t xml:space="preserve"> Leadership</w:t>
            </w:r>
            <w:r w:rsidR="002A1B7D" w:rsidRPr="00397FEF">
              <w:rPr>
                <w:rFonts w:ascii="Times New Roman" w:hAnsi="Times New Roman"/>
                <w:b/>
                <w:sz w:val="20"/>
                <w:u w:val="single"/>
              </w:rPr>
              <w:t>:</w:t>
            </w:r>
            <w:r w:rsidR="002A1B7D" w:rsidRPr="00397FEF">
              <w:rPr>
                <w:rFonts w:ascii="Times New Roman" w:hAnsi="Times New Roman"/>
                <w:sz w:val="20"/>
                <w:u w:val="single"/>
              </w:rPr>
              <w:t xml:space="preserve"> </w:t>
            </w:r>
          </w:p>
          <w:p w14:paraId="10948695" w14:textId="77777777" w:rsidR="00397FEF" w:rsidRPr="00397FEF" w:rsidRDefault="00397FEF" w:rsidP="00397FEF">
            <w:pPr>
              <w:pStyle w:val="NormalWeb"/>
              <w:rPr>
                <w:sz w:val="20"/>
                <w:szCs w:val="20"/>
              </w:rPr>
            </w:pPr>
            <w:r w:rsidRPr="00397FEF">
              <w:rPr>
                <w:sz w:val="20"/>
                <w:szCs w:val="20"/>
              </w:rPr>
              <w:t>The core business of school superintendents must always be teaching and learning in a system committed to shared values and beliefs, and challenging, equitable educational programs and learning experiences for all students. The moral imperative of school district leadership is to create and sustain schools where all students learn, where performance gaps are systematically eliminated over time, and where the primary goal of the adults in the system is to ensure that every student graduates from high school college-and-career ready, prepared for a productive life in the 21</w:t>
            </w:r>
            <w:proofErr w:type="spellStart"/>
            <w:r w:rsidRPr="00397FEF">
              <w:rPr>
                <w:position w:val="10"/>
                <w:sz w:val="20"/>
                <w:szCs w:val="20"/>
              </w:rPr>
              <w:t>st</w:t>
            </w:r>
            <w:proofErr w:type="spellEnd"/>
            <w:r w:rsidRPr="00397FEF">
              <w:rPr>
                <w:position w:val="10"/>
                <w:sz w:val="20"/>
                <w:szCs w:val="20"/>
              </w:rPr>
              <w:t xml:space="preserve"> </w:t>
            </w:r>
            <w:r w:rsidRPr="00397FEF">
              <w:rPr>
                <w:sz w:val="20"/>
                <w:szCs w:val="20"/>
              </w:rPr>
              <w:t xml:space="preserve">century. </w:t>
            </w:r>
          </w:p>
          <w:p w14:paraId="2CFBBA40" w14:textId="77777777" w:rsidR="00397FEF" w:rsidRPr="00397FEF" w:rsidRDefault="00397FEF" w:rsidP="00397FEF">
            <w:pPr>
              <w:pStyle w:val="NormalWeb"/>
              <w:rPr>
                <w:sz w:val="20"/>
                <w:szCs w:val="20"/>
              </w:rPr>
            </w:pPr>
            <w:r w:rsidRPr="00397FEF">
              <w:rPr>
                <w:sz w:val="20"/>
                <w:szCs w:val="20"/>
              </w:rPr>
              <w:t xml:space="preserve">Effective superintendents facilitate the stewardship of learning by creating professional learning communities focused on highly engaging, relevant instruction and improved student learning. They set specific achievement targets for schools and students and monitor those targets, ensuring consistent use of research-based best instructional practices in all schools and classrooms. </w:t>
            </w:r>
          </w:p>
          <w:p w14:paraId="1BBD372A" w14:textId="77777777" w:rsidR="00E64217" w:rsidRPr="00397FEF" w:rsidRDefault="00E64217" w:rsidP="00A43952">
            <w:pPr>
              <w:rPr>
                <w:bCs/>
                <w:iCs/>
                <w:sz w:val="20"/>
                <w:szCs w:val="20"/>
              </w:rPr>
            </w:pPr>
          </w:p>
          <w:p w14:paraId="44FA0CFD" w14:textId="77777777" w:rsidR="00E64217" w:rsidRPr="00397FEF" w:rsidRDefault="00E64217" w:rsidP="00C8187F">
            <w:pPr>
              <w:jc w:val="center"/>
              <w:rPr>
                <w:b/>
                <w:i/>
                <w:color w:val="FF0000"/>
                <w:sz w:val="20"/>
                <w:szCs w:val="20"/>
              </w:rPr>
            </w:pPr>
          </w:p>
        </w:tc>
        <w:tc>
          <w:tcPr>
            <w:tcW w:w="2881" w:type="dxa"/>
          </w:tcPr>
          <w:p w14:paraId="186CD01E" w14:textId="77777777" w:rsidR="00E10C2B" w:rsidRDefault="00E10C2B" w:rsidP="008442A9">
            <w:pPr>
              <w:pStyle w:val="Body"/>
              <w:rPr>
                <w:rFonts w:asciiTheme="majorHAnsi" w:hAnsiTheme="majorHAnsi" w:cs="Calibri"/>
                <w:color w:val="000000" w:themeColor="text1"/>
                <w:szCs w:val="22"/>
              </w:rPr>
            </w:pPr>
          </w:p>
          <w:p w14:paraId="1111BD0F" w14:textId="77777777" w:rsidR="00397FEF" w:rsidRPr="00397FEF" w:rsidRDefault="00397FEF" w:rsidP="00397FEF">
            <w:pPr>
              <w:pStyle w:val="Body"/>
              <w:rPr>
                <w:rFonts w:ascii="Times New Roman" w:hAnsi="Times New Roman"/>
                <w:color w:val="000000" w:themeColor="text1"/>
                <w:sz w:val="20"/>
              </w:rPr>
            </w:pPr>
            <w:r w:rsidRPr="00397FEF">
              <w:rPr>
                <w:rFonts w:ascii="Times New Roman" w:hAnsi="Times New Roman"/>
                <w:color w:val="000000" w:themeColor="text1"/>
                <w:sz w:val="20"/>
              </w:rPr>
              <w:t>PRACTICES: Superintendents demonstrate effective instructional leadership practices when they:</w:t>
            </w:r>
          </w:p>
          <w:p w14:paraId="2AC13C1B" w14:textId="27DD4D98" w:rsidR="00397FEF" w:rsidRPr="00397FEF" w:rsidRDefault="00397FEF" w:rsidP="00397FEF">
            <w:pPr>
              <w:pStyle w:val="Body"/>
              <w:rPr>
                <w:rFonts w:ascii="Times New Roman" w:hAnsi="Times New Roman"/>
                <w:color w:val="000000" w:themeColor="text1"/>
                <w:sz w:val="20"/>
              </w:rPr>
            </w:pPr>
            <w:r w:rsidRPr="00397FEF">
              <w:rPr>
                <w:rFonts w:ascii="Times New Roman" w:hAnsi="Times New Roman"/>
                <w:color w:val="000000" w:themeColor="text1"/>
                <w:sz w:val="20"/>
              </w:rPr>
              <w:t>a. Lead with a clear, high-profile focus on learning and teaching grounded in high expectations and</w:t>
            </w:r>
            <w:r>
              <w:rPr>
                <w:rFonts w:ascii="Times New Roman" w:hAnsi="Times New Roman"/>
                <w:color w:val="000000" w:themeColor="text1"/>
                <w:sz w:val="20"/>
              </w:rPr>
              <w:t xml:space="preserve"> </w:t>
            </w:r>
            <w:r w:rsidRPr="00397FEF">
              <w:rPr>
                <w:rFonts w:ascii="Times New Roman" w:hAnsi="Times New Roman"/>
                <w:color w:val="000000" w:themeColor="text1"/>
                <w:sz w:val="20"/>
              </w:rPr>
              <w:t>goals</w:t>
            </w:r>
            <w:r>
              <w:rPr>
                <w:rFonts w:ascii="Times New Roman" w:hAnsi="Times New Roman"/>
                <w:color w:val="000000" w:themeColor="text1"/>
                <w:sz w:val="20"/>
              </w:rPr>
              <w:t>.</w:t>
            </w:r>
          </w:p>
          <w:p w14:paraId="522BA9B4" w14:textId="624A6594" w:rsidR="00397FEF" w:rsidRPr="00397FEF" w:rsidRDefault="00397FEF" w:rsidP="00397FEF">
            <w:pPr>
              <w:pStyle w:val="Body"/>
              <w:rPr>
                <w:rFonts w:ascii="Times New Roman" w:hAnsi="Times New Roman"/>
                <w:color w:val="000000" w:themeColor="text1"/>
                <w:sz w:val="20"/>
              </w:rPr>
            </w:pPr>
            <w:r w:rsidRPr="00397FEF">
              <w:rPr>
                <w:rFonts w:ascii="Times New Roman" w:hAnsi="Times New Roman"/>
                <w:color w:val="000000" w:themeColor="text1"/>
                <w:sz w:val="20"/>
              </w:rPr>
              <w:t>b. Model learning for staff and students</w:t>
            </w:r>
            <w:r>
              <w:rPr>
                <w:rFonts w:ascii="Times New Roman" w:hAnsi="Times New Roman"/>
                <w:color w:val="000000" w:themeColor="text1"/>
                <w:sz w:val="20"/>
              </w:rPr>
              <w:t>.</w:t>
            </w:r>
          </w:p>
          <w:p w14:paraId="701A4CAF" w14:textId="1E0FE1EA" w:rsidR="00397FEF" w:rsidRPr="00397FEF" w:rsidRDefault="00397FEF" w:rsidP="00397FEF">
            <w:pPr>
              <w:pStyle w:val="Body"/>
              <w:rPr>
                <w:rFonts w:ascii="Times New Roman" w:hAnsi="Times New Roman"/>
                <w:color w:val="000000" w:themeColor="text1"/>
                <w:sz w:val="20"/>
              </w:rPr>
            </w:pPr>
            <w:r w:rsidRPr="00397FEF">
              <w:rPr>
                <w:rFonts w:ascii="Times New Roman" w:hAnsi="Times New Roman"/>
                <w:color w:val="000000" w:themeColor="text1"/>
                <w:sz w:val="20"/>
              </w:rPr>
              <w:t>c. Communicate high expectations for student achievement to staff and stakeholders</w:t>
            </w:r>
            <w:r>
              <w:rPr>
                <w:rFonts w:ascii="Times New Roman" w:hAnsi="Times New Roman"/>
                <w:color w:val="000000" w:themeColor="text1"/>
                <w:sz w:val="20"/>
              </w:rPr>
              <w:t>.</w:t>
            </w:r>
          </w:p>
          <w:p w14:paraId="23A3D3FB" w14:textId="69C547F7" w:rsidR="00397FEF" w:rsidRPr="00397FEF" w:rsidRDefault="00397FEF" w:rsidP="00397FEF">
            <w:pPr>
              <w:pStyle w:val="Body"/>
              <w:rPr>
                <w:rFonts w:ascii="Times New Roman" w:hAnsi="Times New Roman"/>
                <w:color w:val="000000" w:themeColor="text1"/>
                <w:sz w:val="20"/>
              </w:rPr>
            </w:pPr>
            <w:r w:rsidRPr="00397FEF">
              <w:rPr>
                <w:rFonts w:ascii="Times New Roman" w:hAnsi="Times New Roman"/>
                <w:color w:val="000000" w:themeColor="text1"/>
                <w:sz w:val="20"/>
              </w:rPr>
              <w:t>d. Challenge staff to deeply reflect on, define, and deliver the knowledge, skills, and concepts</w:t>
            </w:r>
            <w:r>
              <w:rPr>
                <w:rFonts w:ascii="Times New Roman" w:hAnsi="Times New Roman"/>
                <w:color w:val="000000" w:themeColor="text1"/>
                <w:sz w:val="20"/>
              </w:rPr>
              <w:t xml:space="preserve"> </w:t>
            </w:r>
            <w:r w:rsidRPr="00397FEF">
              <w:rPr>
                <w:rFonts w:ascii="Times New Roman" w:hAnsi="Times New Roman"/>
                <w:color w:val="000000" w:themeColor="text1"/>
                <w:sz w:val="20"/>
              </w:rPr>
              <w:t>essential for ensuring every student graduates from high school globally competitive, ready for</w:t>
            </w:r>
            <w:r>
              <w:rPr>
                <w:rFonts w:ascii="Times New Roman" w:hAnsi="Times New Roman"/>
                <w:color w:val="000000" w:themeColor="text1"/>
                <w:sz w:val="20"/>
              </w:rPr>
              <w:t xml:space="preserve"> </w:t>
            </w:r>
            <w:r w:rsidRPr="00397FEF">
              <w:rPr>
                <w:rFonts w:ascii="Times New Roman" w:hAnsi="Times New Roman"/>
                <w:color w:val="000000" w:themeColor="text1"/>
                <w:sz w:val="20"/>
              </w:rPr>
              <w:t>college and career, and prepared for a productive life in the 21st century</w:t>
            </w:r>
            <w:r>
              <w:rPr>
                <w:rFonts w:ascii="Times New Roman" w:hAnsi="Times New Roman"/>
                <w:color w:val="000000" w:themeColor="text1"/>
                <w:sz w:val="20"/>
              </w:rPr>
              <w:t>.</w:t>
            </w:r>
          </w:p>
          <w:p w14:paraId="6E7B378A" w14:textId="45BC540E" w:rsidR="00397FEF" w:rsidRPr="00397FEF" w:rsidRDefault="00397FEF" w:rsidP="00397FEF">
            <w:pPr>
              <w:pStyle w:val="Body"/>
              <w:rPr>
                <w:rFonts w:ascii="Times New Roman" w:hAnsi="Times New Roman"/>
                <w:color w:val="000000" w:themeColor="text1"/>
                <w:sz w:val="20"/>
              </w:rPr>
            </w:pPr>
            <w:r w:rsidRPr="00397FEF">
              <w:rPr>
                <w:rFonts w:ascii="Times New Roman" w:hAnsi="Times New Roman"/>
                <w:color w:val="000000" w:themeColor="text1"/>
                <w:sz w:val="20"/>
              </w:rPr>
              <w:t>e. Establish and sustain a system that operates as a collaborative learning organization through</w:t>
            </w:r>
            <w:r>
              <w:rPr>
                <w:rFonts w:ascii="Times New Roman" w:hAnsi="Times New Roman"/>
                <w:color w:val="000000" w:themeColor="text1"/>
                <w:sz w:val="20"/>
              </w:rPr>
              <w:t xml:space="preserve"> </w:t>
            </w:r>
            <w:r w:rsidRPr="00397FEF">
              <w:rPr>
                <w:rFonts w:ascii="Times New Roman" w:hAnsi="Times New Roman"/>
                <w:color w:val="000000" w:themeColor="text1"/>
                <w:sz w:val="20"/>
              </w:rPr>
              <w:t>structures (including effective, high-performing professional learning communities) that support</w:t>
            </w:r>
            <w:r>
              <w:rPr>
                <w:rFonts w:ascii="Times New Roman" w:hAnsi="Times New Roman"/>
                <w:color w:val="000000" w:themeColor="text1"/>
                <w:sz w:val="20"/>
              </w:rPr>
              <w:t xml:space="preserve"> </w:t>
            </w:r>
            <w:r w:rsidRPr="00397FEF">
              <w:rPr>
                <w:rFonts w:ascii="Times New Roman" w:hAnsi="Times New Roman"/>
                <w:color w:val="000000" w:themeColor="text1"/>
                <w:sz w:val="20"/>
              </w:rPr>
              <w:t>improved instruction and student learning at all levels</w:t>
            </w:r>
            <w:r>
              <w:rPr>
                <w:rFonts w:ascii="Times New Roman" w:hAnsi="Times New Roman"/>
                <w:color w:val="000000" w:themeColor="text1"/>
                <w:sz w:val="20"/>
              </w:rPr>
              <w:t>.</w:t>
            </w:r>
          </w:p>
          <w:p w14:paraId="35A2B87E" w14:textId="0575F161" w:rsidR="00397FEF" w:rsidRPr="00397FEF" w:rsidRDefault="00397FEF" w:rsidP="00397FEF">
            <w:pPr>
              <w:pStyle w:val="Body"/>
              <w:rPr>
                <w:rFonts w:ascii="Times New Roman" w:hAnsi="Times New Roman"/>
                <w:color w:val="000000" w:themeColor="text1"/>
                <w:sz w:val="20"/>
              </w:rPr>
            </w:pPr>
            <w:r w:rsidRPr="00397FEF">
              <w:rPr>
                <w:rFonts w:ascii="Times New Roman" w:hAnsi="Times New Roman"/>
                <w:color w:val="000000" w:themeColor="text1"/>
                <w:sz w:val="20"/>
              </w:rPr>
              <w:t>f. Monitor effectiveness of instructional programs at the student, group, and programmatic level</w:t>
            </w:r>
            <w:r>
              <w:rPr>
                <w:rFonts w:ascii="Times New Roman" w:hAnsi="Times New Roman"/>
                <w:color w:val="000000" w:themeColor="text1"/>
                <w:sz w:val="20"/>
              </w:rPr>
              <w:t>.</w:t>
            </w:r>
          </w:p>
          <w:p w14:paraId="311C614F" w14:textId="3E8C8C32" w:rsidR="00397FEF" w:rsidRPr="008442A9" w:rsidRDefault="00397FEF" w:rsidP="00397FEF">
            <w:pPr>
              <w:pStyle w:val="Body"/>
              <w:rPr>
                <w:rFonts w:asciiTheme="majorHAnsi" w:hAnsiTheme="majorHAnsi" w:cs="Calibri"/>
                <w:color w:val="000000" w:themeColor="text1"/>
                <w:szCs w:val="22"/>
              </w:rPr>
            </w:pPr>
            <w:r w:rsidRPr="00397FEF">
              <w:rPr>
                <w:rFonts w:ascii="Times New Roman" w:hAnsi="Times New Roman"/>
                <w:color w:val="000000" w:themeColor="text1"/>
                <w:sz w:val="20"/>
              </w:rPr>
              <w:t>g. Monitor the efficient use of funds for student learning that produce effective results.</w:t>
            </w:r>
          </w:p>
        </w:tc>
        <w:tc>
          <w:tcPr>
            <w:tcW w:w="2397" w:type="dxa"/>
          </w:tcPr>
          <w:p w14:paraId="0265DFFD" w14:textId="481362C2" w:rsidR="008442A9" w:rsidRPr="00194BFF" w:rsidRDefault="008442A9" w:rsidP="008442A9">
            <w:pPr>
              <w:rPr>
                <w:rFonts w:asciiTheme="majorHAnsi" w:hAnsiTheme="majorHAnsi"/>
                <w:color w:val="000000" w:themeColor="text1"/>
              </w:rPr>
            </w:pPr>
          </w:p>
          <w:p w14:paraId="2E3CD0DB" w14:textId="77777777" w:rsidR="00194BFF" w:rsidRDefault="000C732B" w:rsidP="000C732B">
            <w:pPr>
              <w:rPr>
                <w:color w:val="000000" w:themeColor="text1"/>
                <w:sz w:val="20"/>
                <w:szCs w:val="20"/>
              </w:rPr>
            </w:pPr>
            <w:r w:rsidRPr="000C732B">
              <w:rPr>
                <w:color w:val="000000" w:themeColor="text1"/>
                <w:sz w:val="20"/>
                <w:szCs w:val="20"/>
              </w:rPr>
              <w:t xml:space="preserve">1. Met with each school administration team to review KSA and </w:t>
            </w:r>
            <w:proofErr w:type="spellStart"/>
            <w:r w:rsidRPr="000C732B">
              <w:rPr>
                <w:color w:val="000000" w:themeColor="text1"/>
                <w:sz w:val="20"/>
                <w:szCs w:val="20"/>
              </w:rPr>
              <w:t>iReady</w:t>
            </w:r>
            <w:proofErr w:type="spellEnd"/>
            <w:r w:rsidRPr="000C732B">
              <w:rPr>
                <w:color w:val="000000" w:themeColor="text1"/>
                <w:sz w:val="20"/>
                <w:szCs w:val="20"/>
              </w:rPr>
              <w:t xml:space="preserve"> assessment data.</w:t>
            </w:r>
          </w:p>
          <w:p w14:paraId="5D9267B7" w14:textId="0ACF461D" w:rsidR="000C732B" w:rsidRPr="000C732B" w:rsidRDefault="000C732B" w:rsidP="000C732B">
            <w:pPr>
              <w:rPr>
                <w:color w:val="000000" w:themeColor="text1"/>
                <w:sz w:val="20"/>
                <w:szCs w:val="20"/>
              </w:rPr>
            </w:pPr>
            <w:r>
              <w:rPr>
                <w:color w:val="000000" w:themeColor="text1"/>
                <w:sz w:val="20"/>
                <w:szCs w:val="20"/>
              </w:rPr>
              <w:t>2. Monthly instructional meeting with Admin and Instructional Coaches.</w:t>
            </w:r>
          </w:p>
        </w:tc>
        <w:tc>
          <w:tcPr>
            <w:tcW w:w="2063" w:type="dxa"/>
          </w:tcPr>
          <w:p w14:paraId="447D2D01" w14:textId="77777777" w:rsidR="00F123D5" w:rsidRPr="000C732B" w:rsidRDefault="00F123D5" w:rsidP="00FA0D5C">
            <w:pPr>
              <w:pStyle w:val="Body"/>
              <w:rPr>
                <w:rFonts w:ascii="Times New Roman" w:hAnsi="Times New Roman"/>
                <w:color w:val="000000" w:themeColor="text1"/>
                <w:sz w:val="20"/>
              </w:rPr>
            </w:pPr>
          </w:p>
          <w:p w14:paraId="37837EF7" w14:textId="77777777" w:rsidR="000C732B" w:rsidRDefault="000C732B" w:rsidP="00FA0D5C">
            <w:pPr>
              <w:pStyle w:val="Body"/>
              <w:rPr>
                <w:rFonts w:ascii="Times New Roman" w:hAnsi="Times New Roman"/>
                <w:color w:val="000000" w:themeColor="text1"/>
                <w:sz w:val="20"/>
              </w:rPr>
            </w:pPr>
            <w:r w:rsidRPr="000C732B">
              <w:rPr>
                <w:rFonts w:ascii="Times New Roman" w:hAnsi="Times New Roman"/>
                <w:color w:val="000000" w:themeColor="text1"/>
                <w:sz w:val="20"/>
              </w:rPr>
              <w:t>1.</w:t>
            </w:r>
            <w:r>
              <w:rPr>
                <w:rFonts w:ascii="Times New Roman" w:hAnsi="Times New Roman"/>
                <w:color w:val="000000" w:themeColor="text1"/>
                <w:sz w:val="20"/>
              </w:rPr>
              <w:t xml:space="preserve"> 8/24/23</w:t>
            </w:r>
          </w:p>
          <w:p w14:paraId="4C627A52" w14:textId="282B9BB7" w:rsidR="000C732B" w:rsidRPr="000C732B" w:rsidRDefault="000C732B" w:rsidP="00FA0D5C">
            <w:pPr>
              <w:pStyle w:val="Body"/>
              <w:rPr>
                <w:rFonts w:ascii="Times New Roman" w:hAnsi="Times New Roman"/>
                <w:color w:val="000000" w:themeColor="text1"/>
                <w:sz w:val="20"/>
              </w:rPr>
            </w:pPr>
            <w:r>
              <w:rPr>
                <w:rFonts w:ascii="Times New Roman" w:hAnsi="Times New Roman"/>
                <w:color w:val="000000" w:themeColor="text1"/>
                <w:sz w:val="20"/>
              </w:rPr>
              <w:t>2. 8/31/23</w:t>
            </w:r>
          </w:p>
        </w:tc>
      </w:tr>
    </w:tbl>
    <w:p w14:paraId="5E2739E7" w14:textId="6B6BA50A" w:rsidR="00A43952" w:rsidRDefault="00A43952" w:rsidP="00A43952">
      <w:pPr>
        <w:ind w:left="360"/>
        <w:rPr>
          <w:rFonts w:asciiTheme="majorHAnsi" w:hAnsiTheme="majorHAnsi"/>
          <w:color w:val="0070C0"/>
          <w:sz w:val="22"/>
          <w:szCs w:val="22"/>
        </w:rPr>
      </w:pPr>
    </w:p>
    <w:p w14:paraId="1BA75317" w14:textId="23C32BDB" w:rsidR="00AE6ED3" w:rsidRDefault="00AE6ED3" w:rsidP="00A43952">
      <w:pPr>
        <w:ind w:left="360"/>
        <w:rPr>
          <w:rFonts w:asciiTheme="majorHAnsi" w:hAnsiTheme="majorHAnsi"/>
          <w:color w:val="0070C0"/>
          <w:sz w:val="22"/>
          <w:szCs w:val="22"/>
        </w:rPr>
      </w:pPr>
    </w:p>
    <w:p w14:paraId="5A38E799" w14:textId="77777777" w:rsidR="008442A9" w:rsidRDefault="008442A9">
      <w:pPr>
        <w:rPr>
          <w:rFonts w:ascii="Calibri,Bold" w:hAnsi="Calibri,Bold"/>
        </w:rPr>
      </w:pPr>
      <w:r>
        <w:rPr>
          <w:rFonts w:ascii="Calibri,Bold" w:hAnsi="Calibri,Bold"/>
        </w:rPr>
        <w:br w:type="page"/>
      </w:r>
    </w:p>
    <w:sectPr w:rsidR="008442A9" w:rsidSect="00747E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724E"/>
    <w:multiLevelType w:val="hybridMultilevel"/>
    <w:tmpl w:val="85105694"/>
    <w:lvl w:ilvl="0" w:tplc="A022D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B15EB"/>
    <w:multiLevelType w:val="hybridMultilevel"/>
    <w:tmpl w:val="1290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1DA"/>
    <w:multiLevelType w:val="hybridMultilevel"/>
    <w:tmpl w:val="65B8B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1137B"/>
    <w:multiLevelType w:val="hybridMultilevel"/>
    <w:tmpl w:val="133A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C5451"/>
    <w:multiLevelType w:val="hybridMultilevel"/>
    <w:tmpl w:val="C2EC8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F0A6E"/>
    <w:multiLevelType w:val="hybridMultilevel"/>
    <w:tmpl w:val="835A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1EFC"/>
    <w:multiLevelType w:val="hybridMultilevel"/>
    <w:tmpl w:val="B81A60A4"/>
    <w:lvl w:ilvl="0" w:tplc="04090005">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2B3B2A22"/>
    <w:multiLevelType w:val="hybridMultilevel"/>
    <w:tmpl w:val="4510F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E2D66"/>
    <w:multiLevelType w:val="multilevel"/>
    <w:tmpl w:val="99AE1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B2A08"/>
    <w:multiLevelType w:val="hybridMultilevel"/>
    <w:tmpl w:val="6B8076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50182F"/>
    <w:multiLevelType w:val="hybridMultilevel"/>
    <w:tmpl w:val="FF341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47EF6"/>
    <w:multiLevelType w:val="hybridMultilevel"/>
    <w:tmpl w:val="5202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C7F21"/>
    <w:multiLevelType w:val="hybridMultilevel"/>
    <w:tmpl w:val="E90C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0463B"/>
    <w:multiLevelType w:val="multilevel"/>
    <w:tmpl w:val="310E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986EFB"/>
    <w:multiLevelType w:val="hybridMultilevel"/>
    <w:tmpl w:val="4910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E5425"/>
    <w:multiLevelType w:val="hybridMultilevel"/>
    <w:tmpl w:val="9F16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D503E"/>
    <w:multiLevelType w:val="hybridMultilevel"/>
    <w:tmpl w:val="FFC6E4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5190764">
    <w:abstractNumId w:val="16"/>
  </w:num>
  <w:num w:numId="2" w16cid:durableId="518205600">
    <w:abstractNumId w:val="9"/>
  </w:num>
  <w:num w:numId="3" w16cid:durableId="1835223549">
    <w:abstractNumId w:val="6"/>
  </w:num>
  <w:num w:numId="4" w16cid:durableId="1395422251">
    <w:abstractNumId w:val="10"/>
  </w:num>
  <w:num w:numId="5" w16cid:durableId="508251652">
    <w:abstractNumId w:val="15"/>
  </w:num>
  <w:num w:numId="6" w16cid:durableId="1949582229">
    <w:abstractNumId w:val="14"/>
  </w:num>
  <w:num w:numId="7" w16cid:durableId="2063671999">
    <w:abstractNumId w:val="7"/>
  </w:num>
  <w:num w:numId="8" w16cid:durableId="260725348">
    <w:abstractNumId w:val="1"/>
  </w:num>
  <w:num w:numId="9" w16cid:durableId="862594957">
    <w:abstractNumId w:val="5"/>
  </w:num>
  <w:num w:numId="10" w16cid:durableId="564416884">
    <w:abstractNumId w:val="4"/>
  </w:num>
  <w:num w:numId="11" w16cid:durableId="1785340116">
    <w:abstractNumId w:val="2"/>
  </w:num>
  <w:num w:numId="12" w16cid:durableId="1701739222">
    <w:abstractNumId w:val="11"/>
  </w:num>
  <w:num w:numId="13" w16cid:durableId="451629184">
    <w:abstractNumId w:val="13"/>
  </w:num>
  <w:num w:numId="14" w16cid:durableId="301232766">
    <w:abstractNumId w:val="8"/>
  </w:num>
  <w:num w:numId="15" w16cid:durableId="881209449">
    <w:abstractNumId w:val="12"/>
  </w:num>
  <w:num w:numId="16" w16cid:durableId="1434592840">
    <w:abstractNumId w:val="0"/>
  </w:num>
  <w:num w:numId="17" w16cid:durableId="1026178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4A"/>
    <w:rsid w:val="000625CB"/>
    <w:rsid w:val="000949BE"/>
    <w:rsid w:val="000B53BC"/>
    <w:rsid w:val="000C732B"/>
    <w:rsid w:val="00132FAF"/>
    <w:rsid w:val="00194BFF"/>
    <w:rsid w:val="001C3F3E"/>
    <w:rsid w:val="001F06E5"/>
    <w:rsid w:val="002149FB"/>
    <w:rsid w:val="002A1B7D"/>
    <w:rsid w:val="00317B4F"/>
    <w:rsid w:val="003647A7"/>
    <w:rsid w:val="00397FEF"/>
    <w:rsid w:val="003B1AFA"/>
    <w:rsid w:val="003D2F03"/>
    <w:rsid w:val="00400E97"/>
    <w:rsid w:val="005745F2"/>
    <w:rsid w:val="00631031"/>
    <w:rsid w:val="006646D8"/>
    <w:rsid w:val="00727779"/>
    <w:rsid w:val="00747E9B"/>
    <w:rsid w:val="007760F8"/>
    <w:rsid w:val="008442A9"/>
    <w:rsid w:val="0086004A"/>
    <w:rsid w:val="008A22B7"/>
    <w:rsid w:val="008F41F4"/>
    <w:rsid w:val="00901175"/>
    <w:rsid w:val="009034EC"/>
    <w:rsid w:val="00981193"/>
    <w:rsid w:val="009E47FF"/>
    <w:rsid w:val="009F1E41"/>
    <w:rsid w:val="00A36C2B"/>
    <w:rsid w:val="00A43952"/>
    <w:rsid w:val="00A6683B"/>
    <w:rsid w:val="00AD0FE5"/>
    <w:rsid w:val="00AE59A9"/>
    <w:rsid w:val="00AE6ED3"/>
    <w:rsid w:val="00B11333"/>
    <w:rsid w:val="00BF4895"/>
    <w:rsid w:val="00C020A5"/>
    <w:rsid w:val="00C515DF"/>
    <w:rsid w:val="00C64F81"/>
    <w:rsid w:val="00C8187F"/>
    <w:rsid w:val="00D35A48"/>
    <w:rsid w:val="00D92589"/>
    <w:rsid w:val="00DC2372"/>
    <w:rsid w:val="00E10C2B"/>
    <w:rsid w:val="00E47B22"/>
    <w:rsid w:val="00E64217"/>
    <w:rsid w:val="00E744C0"/>
    <w:rsid w:val="00ED1C24"/>
    <w:rsid w:val="00EE6F08"/>
    <w:rsid w:val="00F123D5"/>
    <w:rsid w:val="00F201C1"/>
    <w:rsid w:val="00F53EF5"/>
    <w:rsid w:val="00F9244C"/>
    <w:rsid w:val="00FA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7BB44"/>
  <w14:defaultImageDpi w14:val="300"/>
  <w15:docId w15:val="{BC1AFBA2-9887-47DF-AACB-D341F9C8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0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47E9B"/>
    <w:rPr>
      <w:rFonts w:ascii="Helvetica" w:eastAsia="ヒラギノ角ゴ Pro W3" w:hAnsi="Helvetica" w:cs="Times New Roman"/>
      <w:color w:val="000000"/>
      <w:szCs w:val="20"/>
    </w:rPr>
  </w:style>
  <w:style w:type="table" w:styleId="TableGrid">
    <w:name w:val="Table Grid"/>
    <w:basedOn w:val="TableNormal"/>
    <w:uiPriority w:val="59"/>
    <w:rsid w:val="009034E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4EC"/>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8442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8629">
      <w:bodyDiv w:val="1"/>
      <w:marLeft w:val="0"/>
      <w:marRight w:val="0"/>
      <w:marTop w:val="0"/>
      <w:marBottom w:val="0"/>
      <w:divBdr>
        <w:top w:val="none" w:sz="0" w:space="0" w:color="auto"/>
        <w:left w:val="none" w:sz="0" w:space="0" w:color="auto"/>
        <w:bottom w:val="none" w:sz="0" w:space="0" w:color="auto"/>
        <w:right w:val="none" w:sz="0" w:space="0" w:color="auto"/>
      </w:divBdr>
      <w:divsChild>
        <w:div w:id="292253434">
          <w:marLeft w:val="0"/>
          <w:marRight w:val="0"/>
          <w:marTop w:val="0"/>
          <w:marBottom w:val="0"/>
          <w:divBdr>
            <w:top w:val="none" w:sz="0" w:space="0" w:color="auto"/>
            <w:left w:val="none" w:sz="0" w:space="0" w:color="auto"/>
            <w:bottom w:val="none" w:sz="0" w:space="0" w:color="auto"/>
            <w:right w:val="none" w:sz="0" w:space="0" w:color="auto"/>
          </w:divBdr>
          <w:divsChild>
            <w:div w:id="54011927">
              <w:marLeft w:val="0"/>
              <w:marRight w:val="0"/>
              <w:marTop w:val="0"/>
              <w:marBottom w:val="0"/>
              <w:divBdr>
                <w:top w:val="none" w:sz="0" w:space="0" w:color="auto"/>
                <w:left w:val="none" w:sz="0" w:space="0" w:color="auto"/>
                <w:bottom w:val="none" w:sz="0" w:space="0" w:color="auto"/>
                <w:right w:val="none" w:sz="0" w:space="0" w:color="auto"/>
              </w:divBdr>
              <w:divsChild>
                <w:div w:id="1326861397">
                  <w:marLeft w:val="0"/>
                  <w:marRight w:val="0"/>
                  <w:marTop w:val="0"/>
                  <w:marBottom w:val="0"/>
                  <w:divBdr>
                    <w:top w:val="none" w:sz="0" w:space="0" w:color="auto"/>
                    <w:left w:val="none" w:sz="0" w:space="0" w:color="auto"/>
                    <w:bottom w:val="none" w:sz="0" w:space="0" w:color="auto"/>
                    <w:right w:val="none" w:sz="0" w:space="0" w:color="auto"/>
                  </w:divBdr>
                  <w:divsChild>
                    <w:div w:id="12809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74168">
      <w:bodyDiv w:val="1"/>
      <w:marLeft w:val="0"/>
      <w:marRight w:val="0"/>
      <w:marTop w:val="0"/>
      <w:marBottom w:val="0"/>
      <w:divBdr>
        <w:top w:val="none" w:sz="0" w:space="0" w:color="auto"/>
        <w:left w:val="none" w:sz="0" w:space="0" w:color="auto"/>
        <w:bottom w:val="none" w:sz="0" w:space="0" w:color="auto"/>
        <w:right w:val="none" w:sz="0" w:space="0" w:color="auto"/>
      </w:divBdr>
      <w:divsChild>
        <w:div w:id="1211376823">
          <w:marLeft w:val="0"/>
          <w:marRight w:val="0"/>
          <w:marTop w:val="0"/>
          <w:marBottom w:val="0"/>
          <w:divBdr>
            <w:top w:val="none" w:sz="0" w:space="0" w:color="auto"/>
            <w:left w:val="none" w:sz="0" w:space="0" w:color="auto"/>
            <w:bottom w:val="none" w:sz="0" w:space="0" w:color="auto"/>
            <w:right w:val="none" w:sz="0" w:space="0" w:color="auto"/>
          </w:divBdr>
          <w:divsChild>
            <w:div w:id="590118569">
              <w:marLeft w:val="0"/>
              <w:marRight w:val="0"/>
              <w:marTop w:val="0"/>
              <w:marBottom w:val="0"/>
              <w:divBdr>
                <w:top w:val="none" w:sz="0" w:space="0" w:color="auto"/>
                <w:left w:val="none" w:sz="0" w:space="0" w:color="auto"/>
                <w:bottom w:val="none" w:sz="0" w:space="0" w:color="auto"/>
                <w:right w:val="none" w:sz="0" w:space="0" w:color="auto"/>
              </w:divBdr>
              <w:divsChild>
                <w:div w:id="109011766">
                  <w:marLeft w:val="0"/>
                  <w:marRight w:val="0"/>
                  <w:marTop w:val="0"/>
                  <w:marBottom w:val="0"/>
                  <w:divBdr>
                    <w:top w:val="none" w:sz="0" w:space="0" w:color="auto"/>
                    <w:left w:val="none" w:sz="0" w:space="0" w:color="auto"/>
                    <w:bottom w:val="none" w:sz="0" w:space="0" w:color="auto"/>
                    <w:right w:val="none" w:sz="0" w:space="0" w:color="auto"/>
                  </w:divBdr>
                  <w:divsChild>
                    <w:div w:id="9122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04922">
      <w:bodyDiv w:val="1"/>
      <w:marLeft w:val="0"/>
      <w:marRight w:val="0"/>
      <w:marTop w:val="0"/>
      <w:marBottom w:val="0"/>
      <w:divBdr>
        <w:top w:val="none" w:sz="0" w:space="0" w:color="auto"/>
        <w:left w:val="none" w:sz="0" w:space="0" w:color="auto"/>
        <w:bottom w:val="none" w:sz="0" w:space="0" w:color="auto"/>
        <w:right w:val="none" w:sz="0" w:space="0" w:color="auto"/>
      </w:divBdr>
      <w:divsChild>
        <w:div w:id="1365639890">
          <w:marLeft w:val="0"/>
          <w:marRight w:val="0"/>
          <w:marTop w:val="0"/>
          <w:marBottom w:val="0"/>
          <w:divBdr>
            <w:top w:val="none" w:sz="0" w:space="0" w:color="auto"/>
            <w:left w:val="none" w:sz="0" w:space="0" w:color="auto"/>
            <w:bottom w:val="none" w:sz="0" w:space="0" w:color="auto"/>
            <w:right w:val="none" w:sz="0" w:space="0" w:color="auto"/>
          </w:divBdr>
          <w:divsChild>
            <w:div w:id="886913330">
              <w:marLeft w:val="0"/>
              <w:marRight w:val="0"/>
              <w:marTop w:val="0"/>
              <w:marBottom w:val="0"/>
              <w:divBdr>
                <w:top w:val="none" w:sz="0" w:space="0" w:color="auto"/>
                <w:left w:val="none" w:sz="0" w:space="0" w:color="auto"/>
                <w:bottom w:val="none" w:sz="0" w:space="0" w:color="auto"/>
                <w:right w:val="none" w:sz="0" w:space="0" w:color="auto"/>
              </w:divBdr>
              <w:divsChild>
                <w:div w:id="256981708">
                  <w:marLeft w:val="0"/>
                  <w:marRight w:val="0"/>
                  <w:marTop w:val="0"/>
                  <w:marBottom w:val="0"/>
                  <w:divBdr>
                    <w:top w:val="none" w:sz="0" w:space="0" w:color="auto"/>
                    <w:left w:val="none" w:sz="0" w:space="0" w:color="auto"/>
                    <w:bottom w:val="none" w:sz="0" w:space="0" w:color="auto"/>
                    <w:right w:val="none" w:sz="0" w:space="0" w:color="auto"/>
                  </w:divBdr>
                  <w:divsChild>
                    <w:div w:id="1335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67233">
      <w:bodyDiv w:val="1"/>
      <w:marLeft w:val="0"/>
      <w:marRight w:val="0"/>
      <w:marTop w:val="0"/>
      <w:marBottom w:val="0"/>
      <w:divBdr>
        <w:top w:val="none" w:sz="0" w:space="0" w:color="auto"/>
        <w:left w:val="none" w:sz="0" w:space="0" w:color="auto"/>
        <w:bottom w:val="none" w:sz="0" w:space="0" w:color="auto"/>
        <w:right w:val="none" w:sz="0" w:space="0" w:color="auto"/>
      </w:divBdr>
      <w:divsChild>
        <w:div w:id="2056082514">
          <w:marLeft w:val="0"/>
          <w:marRight w:val="0"/>
          <w:marTop w:val="0"/>
          <w:marBottom w:val="0"/>
          <w:divBdr>
            <w:top w:val="none" w:sz="0" w:space="0" w:color="auto"/>
            <w:left w:val="none" w:sz="0" w:space="0" w:color="auto"/>
            <w:bottom w:val="none" w:sz="0" w:space="0" w:color="auto"/>
            <w:right w:val="none" w:sz="0" w:space="0" w:color="auto"/>
          </w:divBdr>
          <w:divsChild>
            <w:div w:id="1425148521">
              <w:marLeft w:val="0"/>
              <w:marRight w:val="0"/>
              <w:marTop w:val="0"/>
              <w:marBottom w:val="0"/>
              <w:divBdr>
                <w:top w:val="none" w:sz="0" w:space="0" w:color="auto"/>
                <w:left w:val="none" w:sz="0" w:space="0" w:color="auto"/>
                <w:bottom w:val="none" w:sz="0" w:space="0" w:color="auto"/>
                <w:right w:val="none" w:sz="0" w:space="0" w:color="auto"/>
              </w:divBdr>
              <w:divsChild>
                <w:div w:id="186455891">
                  <w:marLeft w:val="0"/>
                  <w:marRight w:val="0"/>
                  <w:marTop w:val="0"/>
                  <w:marBottom w:val="0"/>
                  <w:divBdr>
                    <w:top w:val="none" w:sz="0" w:space="0" w:color="auto"/>
                    <w:left w:val="none" w:sz="0" w:space="0" w:color="auto"/>
                    <w:bottom w:val="none" w:sz="0" w:space="0" w:color="auto"/>
                    <w:right w:val="none" w:sz="0" w:space="0" w:color="auto"/>
                  </w:divBdr>
                  <w:divsChild>
                    <w:div w:id="17163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17177">
      <w:bodyDiv w:val="1"/>
      <w:marLeft w:val="0"/>
      <w:marRight w:val="0"/>
      <w:marTop w:val="0"/>
      <w:marBottom w:val="0"/>
      <w:divBdr>
        <w:top w:val="none" w:sz="0" w:space="0" w:color="auto"/>
        <w:left w:val="none" w:sz="0" w:space="0" w:color="auto"/>
        <w:bottom w:val="none" w:sz="0" w:space="0" w:color="auto"/>
        <w:right w:val="none" w:sz="0" w:space="0" w:color="auto"/>
      </w:divBdr>
      <w:divsChild>
        <w:div w:id="1512528351">
          <w:marLeft w:val="0"/>
          <w:marRight w:val="0"/>
          <w:marTop w:val="0"/>
          <w:marBottom w:val="0"/>
          <w:divBdr>
            <w:top w:val="none" w:sz="0" w:space="0" w:color="auto"/>
            <w:left w:val="none" w:sz="0" w:space="0" w:color="auto"/>
            <w:bottom w:val="none" w:sz="0" w:space="0" w:color="auto"/>
            <w:right w:val="none" w:sz="0" w:space="0" w:color="auto"/>
          </w:divBdr>
          <w:divsChild>
            <w:div w:id="74716440">
              <w:marLeft w:val="0"/>
              <w:marRight w:val="0"/>
              <w:marTop w:val="0"/>
              <w:marBottom w:val="0"/>
              <w:divBdr>
                <w:top w:val="none" w:sz="0" w:space="0" w:color="auto"/>
                <w:left w:val="none" w:sz="0" w:space="0" w:color="auto"/>
                <w:bottom w:val="none" w:sz="0" w:space="0" w:color="auto"/>
                <w:right w:val="none" w:sz="0" w:space="0" w:color="auto"/>
              </w:divBdr>
              <w:divsChild>
                <w:div w:id="1611665342">
                  <w:marLeft w:val="0"/>
                  <w:marRight w:val="0"/>
                  <w:marTop w:val="0"/>
                  <w:marBottom w:val="0"/>
                  <w:divBdr>
                    <w:top w:val="none" w:sz="0" w:space="0" w:color="auto"/>
                    <w:left w:val="none" w:sz="0" w:space="0" w:color="auto"/>
                    <w:bottom w:val="none" w:sz="0" w:space="0" w:color="auto"/>
                    <w:right w:val="none" w:sz="0" w:space="0" w:color="auto"/>
                  </w:divBdr>
                  <w:divsChild>
                    <w:div w:id="19783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Begley</dc:creator>
  <cp:keywords/>
  <dc:description/>
  <cp:lastModifiedBy>Booher, Jason</cp:lastModifiedBy>
  <cp:revision>3</cp:revision>
  <dcterms:created xsi:type="dcterms:W3CDTF">2023-08-28T17:41:00Z</dcterms:created>
  <dcterms:modified xsi:type="dcterms:W3CDTF">2023-08-28T17:45:00Z</dcterms:modified>
</cp:coreProperties>
</file>