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0D10F4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3882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2243A4D" w:rsidR="006F0552" w:rsidRPr="00716300" w:rsidRDefault="00E2388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F5824F5" w:rsidR="00DE0B82" w:rsidRPr="00716300" w:rsidRDefault="00E2388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Ehmet Hayes &amp; Associates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B840E53" w:rsidR="00DE0B82" w:rsidRPr="00716300" w:rsidRDefault="00E2388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Schematic Design Drawings for Conner High School Fieldhouse, BG 23-470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1255FBC" w:rsidR="008A2749" w:rsidRPr="008A2749" w:rsidRDefault="00E2388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9/14/2023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7D21B4F7" w14:textId="77777777" w:rsidR="00E23882" w:rsidRDefault="00E2388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  <w:p w14:paraId="03E9A220" w14:textId="53EEE10A" w:rsidR="00D072A8" w:rsidRPr="00DE0B82" w:rsidRDefault="00E2388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4E:  Boone County Schools will provide safe, clean, learner ready facilities.  1.  Prioritize the district facilities plan to ensure alignment with the desired state as directed by the strategic plan.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2F77884A" w:rsidR="00D072A8" w:rsidRPr="006F0552" w:rsidRDefault="00E2388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Schematic Design Drawings for Conner High School Fieldhouse, BG 23-470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5C2E60F" w:rsidR="00D072A8" w:rsidRPr="006F0552" w:rsidRDefault="00E2388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6DD4B8B8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595AE38" w:rsidR="00DE0B82" w:rsidRDefault="00E2388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3DBB838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E23882">
            <w:rPr>
              <w:rFonts w:asciiTheme="minorHAnsi" w:hAnsiTheme="minorHAnsi" w:cstheme="minorHAnsi"/>
            </w:rPr>
            <w:t>Schematic Design Drawings for Conner High School Fieldhouse, BG 23-470,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5677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882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2023-08-25T16:10:00Z</cp:lastPrinted>
  <dcterms:created xsi:type="dcterms:W3CDTF">2023-08-25T16:03:00Z</dcterms:created>
  <dcterms:modified xsi:type="dcterms:W3CDTF">2023-08-25T16:11:00Z</dcterms:modified>
</cp:coreProperties>
</file>