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17C9" w14:textId="330DAE2E" w:rsidR="00E17A90" w:rsidRPr="00DA50C9" w:rsidRDefault="00E17A90" w:rsidP="00126D4F">
      <w:pPr>
        <w:spacing w:after="0" w:line="240" w:lineRule="auto"/>
        <w:rPr>
          <w:rFonts w:cstheme="minorHAnsi"/>
          <w:b/>
          <w:iCs/>
          <w:sz w:val="40"/>
          <w:szCs w:val="40"/>
        </w:rPr>
      </w:pPr>
      <w:r w:rsidRPr="00DA50C9">
        <w:rPr>
          <w:rFonts w:cstheme="minorHAnsi"/>
          <w:b/>
          <w:iCs/>
          <w:sz w:val="40"/>
          <w:szCs w:val="40"/>
        </w:rPr>
        <w:t>Professional Growth Plan</w:t>
      </w:r>
      <w:r w:rsidR="00DA50C9" w:rsidRPr="00DA50C9">
        <w:rPr>
          <w:rFonts w:cstheme="minorHAnsi"/>
          <w:b/>
          <w:iCs/>
          <w:sz w:val="40"/>
          <w:szCs w:val="40"/>
        </w:rPr>
        <w:t xml:space="preserve"> for Mark Thomas, 202</w:t>
      </w:r>
      <w:r w:rsidR="001903D4">
        <w:rPr>
          <w:rFonts w:cstheme="minorHAnsi"/>
          <w:b/>
          <w:iCs/>
          <w:sz w:val="40"/>
          <w:szCs w:val="40"/>
        </w:rPr>
        <w:t>3</w:t>
      </w:r>
      <w:r w:rsidR="00DA50C9" w:rsidRPr="00DA50C9">
        <w:rPr>
          <w:rFonts w:cstheme="minorHAnsi"/>
          <w:b/>
          <w:iCs/>
          <w:sz w:val="40"/>
          <w:szCs w:val="40"/>
        </w:rPr>
        <w:t>-202</w:t>
      </w:r>
      <w:r w:rsidR="001903D4">
        <w:rPr>
          <w:rFonts w:cstheme="minorHAnsi"/>
          <w:b/>
          <w:iCs/>
          <w:sz w:val="40"/>
          <w:szCs w:val="40"/>
        </w:rPr>
        <w:t>4</w:t>
      </w:r>
    </w:p>
    <w:p w14:paraId="6805D4F6" w14:textId="347E1FEB" w:rsidR="00C82095" w:rsidRPr="00CF1217" w:rsidRDefault="00C82095" w:rsidP="00C82095">
      <w:pPr>
        <w:pStyle w:val="TableParagraph"/>
        <w:spacing w:before="102" w:line="254" w:lineRule="auto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>Focus areas for 202</w:t>
      </w:r>
      <w:r w:rsidR="001903D4">
        <w:rPr>
          <w:rFonts w:asciiTheme="minorHAnsi" w:hAnsiTheme="minorHAnsi" w:cstheme="minorHAnsi"/>
          <w:bCs/>
          <w:sz w:val="20"/>
        </w:rPr>
        <w:t>3</w:t>
      </w:r>
      <w:r w:rsidRPr="00CF1217">
        <w:rPr>
          <w:rFonts w:asciiTheme="minorHAnsi" w:hAnsiTheme="minorHAnsi" w:cstheme="minorHAnsi"/>
          <w:bCs/>
          <w:sz w:val="20"/>
        </w:rPr>
        <w:t>-202</w:t>
      </w:r>
      <w:r w:rsidR="001903D4">
        <w:rPr>
          <w:rFonts w:asciiTheme="minorHAnsi" w:hAnsiTheme="minorHAnsi" w:cstheme="minorHAnsi"/>
          <w:bCs/>
          <w:sz w:val="20"/>
        </w:rPr>
        <w:t>4</w:t>
      </w:r>
      <w:r w:rsidRPr="00CF1217">
        <w:rPr>
          <w:rFonts w:asciiTheme="minorHAnsi" w:hAnsiTheme="minorHAnsi" w:cstheme="minorHAnsi"/>
          <w:bCs/>
          <w:sz w:val="20"/>
        </w:rPr>
        <w:t xml:space="preserve"> are: </w:t>
      </w:r>
    </w:p>
    <w:p w14:paraId="42C7D967" w14:textId="41053B68" w:rsidR="00C82095" w:rsidRPr="00CF1217" w:rsidRDefault="00C82095" w:rsidP="00C82095">
      <w:pPr>
        <w:pStyle w:val="TableParagraph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 xml:space="preserve">Standard 1 (Strategic Leadership) </w:t>
      </w:r>
    </w:p>
    <w:p w14:paraId="07EC1DD0" w14:textId="77777777" w:rsidR="00C82095" w:rsidRPr="00CF1217" w:rsidRDefault="00C82095" w:rsidP="00C82095">
      <w:pPr>
        <w:pStyle w:val="TableParagraph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>Standard 4 (Human Resource Leadership)</w:t>
      </w:r>
    </w:p>
    <w:p w14:paraId="09C0845F" w14:textId="77777777" w:rsidR="00C82095" w:rsidRPr="00CF1217" w:rsidRDefault="00C82095" w:rsidP="00C82095">
      <w:pPr>
        <w:pStyle w:val="TableParagraph"/>
        <w:rPr>
          <w:rFonts w:asciiTheme="minorHAnsi" w:hAnsiTheme="minorHAnsi" w:cstheme="minorHAnsi"/>
          <w:bCs/>
          <w:sz w:val="20"/>
        </w:rPr>
      </w:pPr>
    </w:p>
    <w:p w14:paraId="0F54C8A6" w14:textId="77777777" w:rsidR="00CF1217" w:rsidRPr="00CF1217" w:rsidRDefault="00CF1217" w:rsidP="00CF1217">
      <w:pPr>
        <w:spacing w:after="0" w:line="240" w:lineRule="auto"/>
        <w:rPr>
          <w:rFonts w:cstheme="minorHAnsi"/>
          <w:bCs/>
          <w:iCs/>
          <w:sz w:val="32"/>
          <w:szCs w:val="32"/>
          <w:u w:val="single"/>
        </w:rPr>
      </w:pPr>
      <w:r w:rsidRPr="00CF1217">
        <w:rPr>
          <w:rFonts w:cstheme="minorHAnsi"/>
          <w:b/>
          <w:iCs/>
          <w:sz w:val="32"/>
          <w:szCs w:val="32"/>
        </w:rPr>
        <w:t>Standard 1 – Strategic Leadership</w:t>
      </w:r>
    </w:p>
    <w:p w14:paraId="4F6A56FC" w14:textId="472FC992" w:rsidR="00CF1217" w:rsidRPr="00CF1217" w:rsidRDefault="00CF1217" w:rsidP="00CF1217">
      <w:pPr>
        <w:spacing w:after="0" w:line="240" w:lineRule="auto"/>
        <w:rPr>
          <w:rFonts w:cstheme="minorHAnsi"/>
          <w:bCs/>
          <w:iCs/>
        </w:rPr>
      </w:pPr>
      <w:r w:rsidRPr="00CF1217">
        <w:rPr>
          <w:rFonts w:cstheme="minorHAnsi"/>
          <w:bCs/>
          <w:iCs/>
        </w:rPr>
        <w:t xml:space="preserve">Superintendents create conditions that result in strategically reimaging the district’s vision, mission and goals to ensure that every student graduates from high school; is globally competitive in post-secondary education and the </w:t>
      </w:r>
      <w:proofErr w:type="gramStart"/>
      <w:r w:rsidRPr="00CF1217">
        <w:rPr>
          <w:rFonts w:cstheme="minorHAnsi"/>
          <w:bCs/>
          <w:iCs/>
        </w:rPr>
        <w:t>workforce, and</w:t>
      </w:r>
      <w:proofErr w:type="gramEnd"/>
      <w:r w:rsidRPr="00CF1217">
        <w:rPr>
          <w:rFonts w:cstheme="minorHAnsi"/>
          <w:bCs/>
          <w:iCs/>
        </w:rPr>
        <w:t xml:space="preserve"> is prepared for life in the 21</w:t>
      </w:r>
      <w:r w:rsidRPr="00CF1217">
        <w:rPr>
          <w:rFonts w:cstheme="minorHAnsi"/>
          <w:bCs/>
          <w:iCs/>
          <w:vertAlign w:val="superscript"/>
        </w:rPr>
        <w:t>st</w:t>
      </w:r>
      <w:r w:rsidRPr="00CF1217">
        <w:rPr>
          <w:rFonts w:cstheme="minorHAnsi"/>
          <w:bCs/>
          <w:iCs/>
        </w:rPr>
        <w:t xml:space="preserve"> Century.  </w:t>
      </w:r>
    </w:p>
    <w:p w14:paraId="020345D7" w14:textId="77777777" w:rsidR="00E17A90" w:rsidRPr="00CF1217" w:rsidRDefault="00E17A90" w:rsidP="00E17A90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42"/>
        <w:gridCol w:w="2406"/>
        <w:gridCol w:w="2180"/>
        <w:gridCol w:w="2014"/>
      </w:tblGrid>
      <w:tr w:rsidR="00E77327" w:rsidRPr="00CF1217" w14:paraId="5E07A820" w14:textId="77777777" w:rsidTr="00C004D9">
        <w:tc>
          <w:tcPr>
            <w:tcW w:w="3341" w:type="dxa"/>
          </w:tcPr>
          <w:p w14:paraId="529AF384" w14:textId="77777777" w:rsidR="00E17A90" w:rsidRPr="00CF1217" w:rsidRDefault="00E17A90" w:rsidP="00C004D9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Standard and Goal</w:t>
            </w:r>
          </w:p>
        </w:tc>
        <w:tc>
          <w:tcPr>
            <w:tcW w:w="2881" w:type="dxa"/>
          </w:tcPr>
          <w:p w14:paraId="1D7CE174" w14:textId="77777777" w:rsidR="00E17A90" w:rsidRPr="00CF1217" w:rsidRDefault="00E17A90" w:rsidP="00C004D9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Actions that Demonstrate the Standard</w:t>
            </w:r>
          </w:p>
        </w:tc>
        <w:tc>
          <w:tcPr>
            <w:tcW w:w="2397" w:type="dxa"/>
          </w:tcPr>
          <w:p w14:paraId="5AE1E918" w14:textId="77777777" w:rsidR="00E17A90" w:rsidRPr="00CF1217" w:rsidRDefault="00E17A90" w:rsidP="00C004D9">
            <w:pPr>
              <w:jc w:val="center"/>
              <w:rPr>
                <w:rFonts w:cstheme="minorHAnsi"/>
                <w:b/>
                <w:color w:val="C00000"/>
              </w:rPr>
            </w:pPr>
            <w:r w:rsidRPr="00CF1217">
              <w:rPr>
                <w:rFonts w:cstheme="minorHAnsi"/>
                <w:b/>
              </w:rPr>
              <w:t xml:space="preserve">Evidence/Artifacts                  </w:t>
            </w:r>
            <w:r w:rsidRPr="00CF1217">
              <w:rPr>
                <w:rFonts w:cstheme="minorHAnsi"/>
                <w:b/>
                <w:color w:val="C00000"/>
              </w:rPr>
              <w:t xml:space="preserve"> </w:t>
            </w:r>
          </w:p>
        </w:tc>
        <w:tc>
          <w:tcPr>
            <w:tcW w:w="2063" w:type="dxa"/>
          </w:tcPr>
          <w:p w14:paraId="27B82246" w14:textId="77777777" w:rsidR="00E17A90" w:rsidRPr="00CF1217" w:rsidRDefault="00E17A90" w:rsidP="00C004D9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Dates Initiated/Completed</w:t>
            </w:r>
          </w:p>
        </w:tc>
      </w:tr>
      <w:tr w:rsidR="00E77327" w:rsidRPr="00CF1217" w14:paraId="3C2AAEBF" w14:textId="77777777" w:rsidTr="00C004D9">
        <w:tc>
          <w:tcPr>
            <w:tcW w:w="3341" w:type="dxa"/>
          </w:tcPr>
          <w:p w14:paraId="21C97872" w14:textId="5E28EC11" w:rsidR="00C82095" w:rsidRDefault="00C82095" w:rsidP="00E7509C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CF1217">
              <w:rPr>
                <w:rFonts w:asciiTheme="minorHAnsi" w:hAnsiTheme="minorHAnsi" w:cstheme="minorHAnsi"/>
                <w:bCs/>
                <w:sz w:val="20"/>
              </w:rPr>
              <w:t xml:space="preserve">Standard 1 (Strategic Leadership) </w:t>
            </w:r>
          </w:p>
          <w:p w14:paraId="24889EC7" w14:textId="77777777" w:rsidR="00E77E2E" w:rsidRPr="00262F19" w:rsidRDefault="00E77E2E" w:rsidP="00E7509C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</w:rPr>
            </w:pPr>
          </w:p>
          <w:p w14:paraId="2C9B3752" w14:textId="2951F376" w:rsidR="00303F90" w:rsidRPr="00262F19" w:rsidRDefault="00C82095" w:rsidP="005B67BB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  <w:r w:rsidRPr="00262F19">
              <w:rPr>
                <w:rFonts w:cstheme="minorHAnsi"/>
                <w:bCs/>
                <w:iCs/>
              </w:rPr>
              <w:t>-</w:t>
            </w:r>
            <w:r w:rsidR="005B67BB">
              <w:rPr>
                <w:rFonts w:cstheme="minorHAnsi"/>
                <w:bCs/>
                <w:iCs/>
              </w:rPr>
              <w:t>Expand the District’s outreach to school district stakeholders (parents</w:t>
            </w:r>
            <w:r w:rsidR="00BC0E32">
              <w:rPr>
                <w:rFonts w:cstheme="minorHAnsi"/>
                <w:bCs/>
                <w:iCs/>
              </w:rPr>
              <w:t xml:space="preserve">, </w:t>
            </w:r>
            <w:r w:rsidR="005B67BB">
              <w:rPr>
                <w:rFonts w:cstheme="minorHAnsi"/>
                <w:bCs/>
                <w:iCs/>
              </w:rPr>
              <w:t>community</w:t>
            </w:r>
            <w:r w:rsidR="00BC0E32">
              <w:rPr>
                <w:rFonts w:cstheme="minorHAnsi"/>
                <w:bCs/>
                <w:iCs/>
              </w:rPr>
              <w:t>, and staff</w:t>
            </w:r>
            <w:r w:rsidR="0014041C">
              <w:rPr>
                <w:rFonts w:cstheme="minorHAnsi"/>
                <w:bCs/>
                <w:iCs/>
              </w:rPr>
              <w:t xml:space="preserve">)  </w:t>
            </w:r>
          </w:p>
          <w:p w14:paraId="63C47BF3" w14:textId="4A4BD330" w:rsidR="00C82095" w:rsidRPr="00303F90" w:rsidRDefault="00C82095" w:rsidP="00303F90">
            <w:pPr>
              <w:tabs>
                <w:tab w:val="left" w:pos="522"/>
              </w:tabs>
              <w:spacing w:after="0" w:line="240" w:lineRule="auto"/>
              <w:ind w:left="342"/>
              <w:jc w:val="left"/>
              <w:rPr>
                <w:rFonts w:cstheme="minorHAnsi"/>
                <w:bCs/>
                <w:iCs/>
              </w:rPr>
            </w:pPr>
          </w:p>
          <w:p w14:paraId="03D3F66B" w14:textId="35AAD983" w:rsidR="00C82095" w:rsidRPr="00303F90" w:rsidRDefault="00C82095" w:rsidP="00303F90">
            <w:pPr>
              <w:tabs>
                <w:tab w:val="left" w:pos="522"/>
              </w:tabs>
              <w:spacing w:after="0" w:line="240" w:lineRule="auto"/>
              <w:ind w:left="342"/>
              <w:jc w:val="left"/>
              <w:rPr>
                <w:rFonts w:cstheme="minorHAnsi"/>
                <w:bCs/>
                <w:iCs/>
              </w:rPr>
            </w:pPr>
          </w:p>
          <w:p w14:paraId="75A111E1" w14:textId="36A471E7" w:rsidR="00C82095" w:rsidRPr="00303F90" w:rsidRDefault="00C82095" w:rsidP="00303F90">
            <w:pPr>
              <w:tabs>
                <w:tab w:val="left" w:pos="522"/>
              </w:tabs>
              <w:spacing w:after="0" w:line="240" w:lineRule="auto"/>
              <w:ind w:left="342"/>
              <w:jc w:val="left"/>
              <w:rPr>
                <w:rFonts w:cstheme="minorHAnsi"/>
                <w:bCs/>
                <w:iCs/>
              </w:rPr>
            </w:pPr>
          </w:p>
          <w:p w14:paraId="3F37C89E" w14:textId="20EDFAB2" w:rsidR="00C82095" w:rsidRPr="00262F19" w:rsidRDefault="00C82095" w:rsidP="00E7509C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</w:p>
          <w:p w14:paraId="1EED337A" w14:textId="2632AAD3" w:rsidR="004E04E4" w:rsidRDefault="004E04E4" w:rsidP="00E7509C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</w:p>
          <w:p w14:paraId="00D02A76" w14:textId="4CF9A11F" w:rsidR="00262F19" w:rsidRDefault="00262F19" w:rsidP="00E7509C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</w:p>
          <w:p w14:paraId="1FA6FB34" w14:textId="77777777" w:rsidR="00262F19" w:rsidRPr="00262F19" w:rsidRDefault="00262F19" w:rsidP="00E7509C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</w:p>
          <w:p w14:paraId="17682804" w14:textId="52F65409" w:rsidR="00C16CE4" w:rsidRPr="00C16CE4" w:rsidRDefault="00C16CE4" w:rsidP="00E7509C">
            <w:pPr>
              <w:spacing w:after="0" w:line="240" w:lineRule="auto"/>
              <w:jc w:val="left"/>
              <w:rPr>
                <w:rFonts w:cstheme="minorHAnsi"/>
                <w:bCs/>
                <w:iCs/>
              </w:rPr>
            </w:pPr>
          </w:p>
        </w:tc>
        <w:tc>
          <w:tcPr>
            <w:tcW w:w="2881" w:type="dxa"/>
          </w:tcPr>
          <w:p w14:paraId="7ED7F331" w14:textId="77777777" w:rsidR="00E17A90" w:rsidRDefault="00E17A90" w:rsidP="00E7509C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479E5052" w14:textId="77777777" w:rsidR="00AE0998" w:rsidRDefault="00AE0998" w:rsidP="00E7509C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799C2741" w14:textId="77777777" w:rsidR="00AE0998" w:rsidRDefault="00AE0998" w:rsidP="00E7509C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11DFF9F8" w14:textId="4B4EBB88" w:rsidR="00AE0998" w:rsidRDefault="00AE0998" w:rsidP="00AE0998">
            <w:pPr>
              <w:pStyle w:val="Body"/>
              <w:rPr>
                <w:rFonts w:asciiTheme="minorHAnsi" w:hAnsiTheme="minorHAnsi" w:cstheme="minorHAnsi"/>
                <w:sz w:val="20"/>
              </w:rPr>
            </w:pPr>
            <w:r w:rsidRPr="00AE0998">
              <w:rPr>
                <w:rFonts w:asciiTheme="minorHAnsi" w:hAnsiTheme="minorHAnsi" w:cstheme="minorHAnsi"/>
                <w:sz w:val="20"/>
              </w:rPr>
              <w:t>-</w:t>
            </w:r>
            <w:r w:rsidR="0014041C">
              <w:rPr>
                <w:rFonts w:asciiTheme="minorHAnsi" w:hAnsiTheme="minorHAnsi" w:cstheme="minorHAnsi"/>
                <w:sz w:val="20"/>
              </w:rPr>
              <w:t>Continue with scheduled “Latte to Talk About for Todd County Schools” sessions to invite the community to hear updates regarding the school district</w:t>
            </w:r>
            <w:r w:rsidR="00845B41">
              <w:rPr>
                <w:rFonts w:asciiTheme="minorHAnsi" w:hAnsiTheme="minorHAnsi" w:cstheme="minorHAnsi"/>
                <w:sz w:val="20"/>
              </w:rPr>
              <w:t xml:space="preserve"> along with hosting any other sessions to share out information regarding the school district and to attain stakeholder input/feedback</w:t>
            </w:r>
          </w:p>
          <w:p w14:paraId="6BACC829" w14:textId="55FED7B7" w:rsidR="00E86A25" w:rsidRDefault="00E86A25" w:rsidP="00AE0998">
            <w:pPr>
              <w:pStyle w:val="Body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-Presentations to Elkton Rotary and Todd County Chamber of Commerce </w:t>
            </w:r>
            <w:r w:rsidR="001C7D36">
              <w:rPr>
                <w:rFonts w:asciiTheme="minorHAnsi" w:hAnsiTheme="minorHAnsi" w:cstheme="minorHAnsi"/>
                <w:sz w:val="20"/>
              </w:rPr>
              <w:t xml:space="preserve">regarding the great things going on in the district </w:t>
            </w:r>
          </w:p>
          <w:p w14:paraId="38A9AA75" w14:textId="693B87C9" w:rsidR="0014041C" w:rsidRDefault="0014041C" w:rsidP="00AE0998">
            <w:pPr>
              <w:pStyle w:val="Body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="00BC0E32">
              <w:rPr>
                <w:rFonts w:asciiTheme="minorHAnsi" w:hAnsiTheme="minorHAnsi" w:cstheme="minorHAnsi"/>
                <w:sz w:val="20"/>
              </w:rPr>
              <w:t xml:space="preserve">Institute random “Act of Kindness” </w:t>
            </w:r>
            <w:r w:rsidR="009D1B14">
              <w:rPr>
                <w:rFonts w:asciiTheme="minorHAnsi" w:hAnsiTheme="minorHAnsi" w:cstheme="minorHAnsi"/>
                <w:sz w:val="20"/>
              </w:rPr>
              <w:t xml:space="preserve">activities </w:t>
            </w:r>
            <w:r w:rsidR="00BC0E32">
              <w:rPr>
                <w:rFonts w:asciiTheme="minorHAnsi" w:hAnsiTheme="minorHAnsi" w:cstheme="minorHAnsi"/>
                <w:sz w:val="20"/>
              </w:rPr>
              <w:t>to engage stakeholders in positive</w:t>
            </w:r>
            <w:r w:rsidR="0097297F">
              <w:rPr>
                <w:rFonts w:asciiTheme="minorHAnsi" w:hAnsiTheme="minorHAnsi" w:cstheme="minorHAnsi"/>
                <w:sz w:val="20"/>
              </w:rPr>
              <w:t>, reinforcing</w:t>
            </w:r>
            <w:r w:rsidR="00BE3729">
              <w:rPr>
                <w:rFonts w:asciiTheme="minorHAnsi" w:hAnsiTheme="minorHAnsi" w:cstheme="minorHAnsi"/>
                <w:sz w:val="20"/>
              </w:rPr>
              <w:t xml:space="preserve">, and reaffirming </w:t>
            </w:r>
            <w:r w:rsidR="009518A9">
              <w:rPr>
                <w:rFonts w:asciiTheme="minorHAnsi" w:hAnsiTheme="minorHAnsi" w:cstheme="minorHAnsi"/>
                <w:sz w:val="20"/>
              </w:rPr>
              <w:t>activities</w:t>
            </w:r>
          </w:p>
          <w:p w14:paraId="4277B989" w14:textId="56013860" w:rsidR="006477B6" w:rsidRPr="00AE0998" w:rsidRDefault="006477B6" w:rsidP="00AE0998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-Utilize the partnership with WEKT to promote the school district, our students, and our staff</w:t>
            </w:r>
          </w:p>
          <w:p w14:paraId="69672E23" w14:textId="588553D8" w:rsidR="00AE0998" w:rsidRPr="00CF1217" w:rsidRDefault="00AE0998" w:rsidP="00E7509C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2397" w:type="dxa"/>
          </w:tcPr>
          <w:p w14:paraId="65208282" w14:textId="77777777" w:rsidR="00E17A90" w:rsidRPr="00CF1217" w:rsidRDefault="00E17A90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B3BAE89" w14:textId="77777777" w:rsidR="00E17A90" w:rsidRPr="00CF1217" w:rsidRDefault="00E17A90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D9CB206" w14:textId="77777777" w:rsidR="00E17A90" w:rsidRPr="00CF1217" w:rsidRDefault="00E17A90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72D87AB" w14:textId="77777777" w:rsidR="001C410F" w:rsidRDefault="00E17A90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CF1217"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  <w:r w:rsidR="009518A9">
              <w:rPr>
                <w:rFonts w:asciiTheme="minorHAnsi" w:hAnsiTheme="minorHAnsi" w:cstheme="minorHAnsi"/>
                <w:color w:val="auto"/>
                <w:sz w:val="20"/>
              </w:rPr>
              <w:t>Event</w:t>
            </w:r>
            <w:r w:rsidR="00845B41">
              <w:rPr>
                <w:rFonts w:asciiTheme="minorHAnsi" w:hAnsiTheme="minorHAnsi" w:cstheme="minorHAnsi"/>
                <w:color w:val="auto"/>
                <w:sz w:val="20"/>
              </w:rPr>
              <w:t xml:space="preserve"> details </w:t>
            </w:r>
            <w:r w:rsidR="001C410F">
              <w:rPr>
                <w:rFonts w:asciiTheme="minorHAnsi" w:hAnsiTheme="minorHAnsi" w:cstheme="minorHAnsi"/>
                <w:color w:val="auto"/>
                <w:sz w:val="20"/>
              </w:rPr>
              <w:t>along with location, date, and times will be posted on the district’s Facebook page</w:t>
            </w:r>
          </w:p>
          <w:p w14:paraId="78BC29D1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B951BF1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6C6AB80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E35CE98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588DD1F" w14:textId="77777777" w:rsidR="001C7D36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94FEAE7" w14:textId="77777777" w:rsidR="001C7D36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C36DD4A" w14:textId="77777777" w:rsidR="001C7D36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86A25E7" w14:textId="77777777" w:rsidR="001C7D36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418CDAC" w14:textId="735047FA" w:rsidR="001C410F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-Agendas</w:t>
            </w:r>
          </w:p>
          <w:p w14:paraId="3E9A134B" w14:textId="77777777" w:rsidR="001C7D36" w:rsidRDefault="001C7D3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F4B848A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8F058C7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9E79F22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6B4A5F6" w14:textId="77777777" w:rsidR="001C410F" w:rsidRDefault="001C410F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-Artifacts </w:t>
            </w:r>
            <w:r w:rsidR="009D1B14">
              <w:rPr>
                <w:rFonts w:asciiTheme="minorHAnsi" w:hAnsiTheme="minorHAnsi" w:cstheme="minorHAnsi"/>
                <w:color w:val="auto"/>
                <w:sz w:val="20"/>
              </w:rPr>
              <w:t>from the various “Act of Kindness” activities</w:t>
            </w:r>
          </w:p>
          <w:p w14:paraId="477C6761" w14:textId="77777777" w:rsidR="006477B6" w:rsidRDefault="006477B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43F0007" w14:textId="77777777" w:rsidR="006477B6" w:rsidRDefault="006477B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2F9F94D" w14:textId="7A5FA177" w:rsidR="006477B6" w:rsidRPr="001C410F" w:rsidRDefault="006477B6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-Artifacts from the partnership</w:t>
            </w:r>
            <w:r w:rsidR="00BD6A36">
              <w:rPr>
                <w:rFonts w:asciiTheme="minorHAnsi" w:hAnsiTheme="minorHAnsi" w:cstheme="minorHAnsi"/>
                <w:color w:val="auto"/>
                <w:sz w:val="20"/>
              </w:rPr>
              <w:t xml:space="preserve"> with WEKT</w:t>
            </w:r>
          </w:p>
        </w:tc>
        <w:tc>
          <w:tcPr>
            <w:tcW w:w="2063" w:type="dxa"/>
          </w:tcPr>
          <w:p w14:paraId="204341B6" w14:textId="045D9E6A" w:rsidR="00E17A90" w:rsidRDefault="00E17A90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692EC7A" w14:textId="77777777" w:rsidR="00A42841" w:rsidRPr="00CF1217" w:rsidRDefault="00A42841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ACEA204" w14:textId="242A43B4" w:rsidR="00E17A90" w:rsidRDefault="00E17A90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474187A" w14:textId="01A75886" w:rsidR="00E17A90" w:rsidRPr="00CF1217" w:rsidRDefault="009518A9" w:rsidP="00E7509C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</w:p>
          <w:p w14:paraId="07533EFA" w14:textId="77777777" w:rsidR="00591868" w:rsidRDefault="00591868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3F39C84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2F07DDD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A42CAB9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0143758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77F7EB8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79D7EB5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492FDD9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479F229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901AA71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F5F4E17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EAEC782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979EFDF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</w:p>
          <w:p w14:paraId="04266B20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C666903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C3C8F88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2CB6971" w14:textId="77777777" w:rsidR="003E49B1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14E8400" w14:textId="309904AB" w:rsidR="003E49B1" w:rsidRPr="00CF1217" w:rsidRDefault="003E49B1" w:rsidP="00303F90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</w:p>
        </w:tc>
      </w:tr>
    </w:tbl>
    <w:p w14:paraId="4C7E9873" w14:textId="77777777" w:rsidR="00E17A90" w:rsidRPr="00CF1217" w:rsidRDefault="00E17A90" w:rsidP="00E7509C">
      <w:pPr>
        <w:spacing w:after="0" w:line="240" w:lineRule="auto"/>
        <w:jc w:val="left"/>
        <w:rPr>
          <w:rFonts w:cstheme="minorHAnsi"/>
          <w:bCs/>
          <w:iCs/>
          <w:sz w:val="32"/>
          <w:szCs w:val="32"/>
        </w:rPr>
      </w:pPr>
    </w:p>
    <w:p w14:paraId="2FAB4886" w14:textId="23631A86" w:rsidR="00E17A90" w:rsidRPr="00CF1217" w:rsidRDefault="00E17A90" w:rsidP="00E7509C">
      <w:pPr>
        <w:spacing w:after="0" w:line="240" w:lineRule="auto"/>
        <w:jc w:val="center"/>
        <w:rPr>
          <w:rFonts w:cstheme="minorHAnsi"/>
          <w:b/>
          <w:iCs/>
          <w:sz w:val="44"/>
          <w:szCs w:val="44"/>
        </w:rPr>
      </w:pPr>
    </w:p>
    <w:p w14:paraId="17F60094" w14:textId="77777777" w:rsidR="00303F90" w:rsidRDefault="00303F90" w:rsidP="00303F90">
      <w:pPr>
        <w:spacing w:after="0" w:line="240" w:lineRule="auto"/>
        <w:rPr>
          <w:rFonts w:cstheme="minorHAnsi"/>
          <w:b/>
          <w:iCs/>
          <w:sz w:val="44"/>
          <w:szCs w:val="44"/>
        </w:rPr>
      </w:pPr>
    </w:p>
    <w:p w14:paraId="2B9595FD" w14:textId="77777777" w:rsidR="001903D4" w:rsidRPr="00DA50C9" w:rsidRDefault="001903D4" w:rsidP="001903D4">
      <w:pPr>
        <w:spacing w:after="0" w:line="240" w:lineRule="auto"/>
        <w:rPr>
          <w:rFonts w:cstheme="minorHAnsi"/>
          <w:b/>
          <w:iCs/>
          <w:sz w:val="40"/>
          <w:szCs w:val="40"/>
        </w:rPr>
      </w:pPr>
      <w:r w:rsidRPr="00DA50C9">
        <w:rPr>
          <w:rFonts w:cstheme="minorHAnsi"/>
          <w:b/>
          <w:iCs/>
          <w:sz w:val="40"/>
          <w:szCs w:val="40"/>
        </w:rPr>
        <w:lastRenderedPageBreak/>
        <w:t>Professional Growth Plan for Mark Thomas, 202</w:t>
      </w:r>
      <w:r>
        <w:rPr>
          <w:rFonts w:cstheme="minorHAnsi"/>
          <w:b/>
          <w:iCs/>
          <w:sz w:val="40"/>
          <w:szCs w:val="40"/>
        </w:rPr>
        <w:t>3</w:t>
      </w:r>
      <w:r w:rsidRPr="00DA50C9">
        <w:rPr>
          <w:rFonts w:cstheme="minorHAnsi"/>
          <w:b/>
          <w:iCs/>
          <w:sz w:val="40"/>
          <w:szCs w:val="40"/>
        </w:rPr>
        <w:t>-202</w:t>
      </w:r>
      <w:r>
        <w:rPr>
          <w:rFonts w:cstheme="minorHAnsi"/>
          <w:b/>
          <w:iCs/>
          <w:sz w:val="40"/>
          <w:szCs w:val="40"/>
        </w:rPr>
        <w:t>4</w:t>
      </w:r>
    </w:p>
    <w:p w14:paraId="24A7CD13" w14:textId="77777777" w:rsidR="001903D4" w:rsidRPr="00CF1217" w:rsidRDefault="001903D4" w:rsidP="001903D4">
      <w:pPr>
        <w:pStyle w:val="TableParagraph"/>
        <w:spacing w:before="102" w:line="254" w:lineRule="auto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>Focus areas for 202</w:t>
      </w:r>
      <w:r>
        <w:rPr>
          <w:rFonts w:asciiTheme="minorHAnsi" w:hAnsiTheme="minorHAnsi" w:cstheme="minorHAnsi"/>
          <w:bCs/>
          <w:sz w:val="20"/>
        </w:rPr>
        <w:t>3</w:t>
      </w:r>
      <w:r w:rsidRPr="00CF1217">
        <w:rPr>
          <w:rFonts w:asciiTheme="minorHAnsi" w:hAnsiTheme="minorHAnsi" w:cstheme="minorHAnsi"/>
          <w:bCs/>
          <w:sz w:val="20"/>
        </w:rPr>
        <w:t>-202</w:t>
      </w:r>
      <w:r>
        <w:rPr>
          <w:rFonts w:asciiTheme="minorHAnsi" w:hAnsiTheme="minorHAnsi" w:cstheme="minorHAnsi"/>
          <w:bCs/>
          <w:sz w:val="20"/>
        </w:rPr>
        <w:t>4</w:t>
      </w:r>
      <w:r w:rsidRPr="00CF1217">
        <w:rPr>
          <w:rFonts w:asciiTheme="minorHAnsi" w:hAnsiTheme="minorHAnsi" w:cstheme="minorHAnsi"/>
          <w:bCs/>
          <w:sz w:val="20"/>
        </w:rPr>
        <w:t xml:space="preserve"> are: </w:t>
      </w:r>
    </w:p>
    <w:p w14:paraId="5473144A" w14:textId="77777777" w:rsidR="001903D4" w:rsidRPr="00CF1217" w:rsidRDefault="001903D4" w:rsidP="001903D4">
      <w:pPr>
        <w:pStyle w:val="TableParagraph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 xml:space="preserve">Standard 1 (Strategic Leadership) </w:t>
      </w:r>
    </w:p>
    <w:p w14:paraId="5DDE322C" w14:textId="77777777" w:rsidR="001903D4" w:rsidRPr="00CF1217" w:rsidRDefault="001903D4" w:rsidP="001903D4">
      <w:pPr>
        <w:pStyle w:val="TableParagraph"/>
        <w:rPr>
          <w:rFonts w:asciiTheme="minorHAnsi" w:hAnsiTheme="minorHAnsi" w:cstheme="minorHAnsi"/>
          <w:bCs/>
          <w:sz w:val="20"/>
        </w:rPr>
      </w:pPr>
      <w:r w:rsidRPr="00CF1217">
        <w:rPr>
          <w:rFonts w:asciiTheme="minorHAnsi" w:hAnsiTheme="minorHAnsi" w:cstheme="minorHAnsi"/>
          <w:bCs/>
          <w:sz w:val="20"/>
        </w:rPr>
        <w:t>Standard 4 (Human Resource Leadership)</w:t>
      </w:r>
    </w:p>
    <w:p w14:paraId="13115067" w14:textId="77777777" w:rsidR="00303F90" w:rsidRPr="00CF1217" w:rsidRDefault="00303F90" w:rsidP="00303F90">
      <w:pPr>
        <w:pStyle w:val="TableParagraph"/>
        <w:rPr>
          <w:rFonts w:asciiTheme="minorHAnsi" w:hAnsiTheme="minorHAnsi" w:cstheme="minorHAnsi"/>
          <w:bCs/>
          <w:sz w:val="20"/>
        </w:rPr>
      </w:pPr>
    </w:p>
    <w:p w14:paraId="02D3FEB2" w14:textId="0C3414CB" w:rsidR="00CF1217" w:rsidRPr="00CF1217" w:rsidRDefault="00CF1217" w:rsidP="00CF1217">
      <w:pPr>
        <w:spacing w:after="0" w:line="240" w:lineRule="auto"/>
        <w:rPr>
          <w:rFonts w:cstheme="minorHAnsi"/>
          <w:b/>
          <w:iCs/>
          <w:sz w:val="32"/>
          <w:szCs w:val="32"/>
        </w:rPr>
      </w:pPr>
      <w:r w:rsidRPr="00CF1217">
        <w:rPr>
          <w:rFonts w:cstheme="minorHAnsi"/>
          <w:b/>
          <w:iCs/>
          <w:sz w:val="32"/>
          <w:szCs w:val="32"/>
        </w:rPr>
        <w:t>Standard 4 – Human Resource Leadership</w:t>
      </w:r>
    </w:p>
    <w:p w14:paraId="049D4417" w14:textId="3E8B58A1" w:rsidR="00CF1217" w:rsidRPr="00CF1217" w:rsidRDefault="00CF1217" w:rsidP="00CF1217">
      <w:pPr>
        <w:spacing w:after="0" w:line="240" w:lineRule="auto"/>
        <w:rPr>
          <w:rFonts w:cstheme="minorHAnsi"/>
          <w:bCs/>
          <w:iCs/>
        </w:rPr>
      </w:pPr>
      <w:r w:rsidRPr="00CF1217">
        <w:rPr>
          <w:rFonts w:cstheme="minorHAnsi"/>
          <w:bCs/>
          <w:iCs/>
        </w:rPr>
        <w:t xml:space="preserve">Superintendents ensure the district is a professional learning community with </w:t>
      </w:r>
      <w:proofErr w:type="gramStart"/>
      <w:r w:rsidRPr="00CF1217">
        <w:rPr>
          <w:rFonts w:cstheme="minorHAnsi"/>
          <w:bCs/>
          <w:iCs/>
        </w:rPr>
        <w:t>process</w:t>
      </w:r>
      <w:proofErr w:type="gramEnd"/>
      <w:r w:rsidRPr="00CF1217">
        <w:rPr>
          <w:rFonts w:cstheme="minorHAnsi"/>
          <w:bCs/>
          <w:iCs/>
        </w:rPr>
        <w:t xml:space="preserve"> and systems in place that result in recruitment, induction, support, evaluation, development and retention of a high-performing, diverse staff.  Superintendents use distributed leadership to support learning and teaching, plan professional development and engage in district leadership succession planning.  </w:t>
      </w:r>
    </w:p>
    <w:p w14:paraId="44AC4D8B" w14:textId="77777777" w:rsidR="00C82095" w:rsidRPr="00CF1217" w:rsidRDefault="00C82095" w:rsidP="00CF1217">
      <w:pPr>
        <w:spacing w:after="0" w:line="240" w:lineRule="auto"/>
        <w:jc w:val="center"/>
        <w:rPr>
          <w:rFonts w:cstheme="minorHAnsi"/>
          <w:bCs/>
          <w:i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0"/>
        <w:gridCol w:w="2388"/>
        <w:gridCol w:w="2163"/>
        <w:gridCol w:w="2001"/>
      </w:tblGrid>
      <w:tr w:rsidR="007E5C93" w:rsidRPr="00CF1217" w14:paraId="404904C7" w14:textId="77777777" w:rsidTr="0040510B">
        <w:tc>
          <w:tcPr>
            <w:tcW w:w="2965" w:type="dxa"/>
          </w:tcPr>
          <w:p w14:paraId="2127B892" w14:textId="77777777" w:rsidR="00C82095" w:rsidRPr="00CF1217" w:rsidRDefault="00C82095" w:rsidP="0040510B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Standard and Goal</w:t>
            </w:r>
          </w:p>
        </w:tc>
        <w:tc>
          <w:tcPr>
            <w:tcW w:w="2582" w:type="dxa"/>
          </w:tcPr>
          <w:p w14:paraId="0BE0822C" w14:textId="77777777" w:rsidR="00C82095" w:rsidRPr="00CF1217" w:rsidRDefault="00C82095" w:rsidP="0040510B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Actions that Demonstrate the Standard</w:t>
            </w:r>
          </w:p>
        </w:tc>
        <w:tc>
          <w:tcPr>
            <w:tcW w:w="2252" w:type="dxa"/>
          </w:tcPr>
          <w:p w14:paraId="3EEE9040" w14:textId="77777777" w:rsidR="00C82095" w:rsidRPr="00CF1217" w:rsidRDefault="00C82095" w:rsidP="0040510B">
            <w:pPr>
              <w:jc w:val="center"/>
              <w:rPr>
                <w:rFonts w:cstheme="minorHAnsi"/>
                <w:b/>
                <w:color w:val="C00000"/>
              </w:rPr>
            </w:pPr>
            <w:r w:rsidRPr="00CF1217">
              <w:rPr>
                <w:rFonts w:cstheme="minorHAnsi"/>
                <w:b/>
              </w:rPr>
              <w:t xml:space="preserve">Evidence/Artifacts                  </w:t>
            </w:r>
            <w:r w:rsidRPr="00CF1217">
              <w:rPr>
                <w:rFonts w:cstheme="minorHAnsi"/>
                <w:b/>
                <w:color w:val="C00000"/>
              </w:rPr>
              <w:t xml:space="preserve"> </w:t>
            </w:r>
          </w:p>
        </w:tc>
        <w:tc>
          <w:tcPr>
            <w:tcW w:w="2019" w:type="dxa"/>
          </w:tcPr>
          <w:p w14:paraId="6120BEEA" w14:textId="77777777" w:rsidR="00C82095" w:rsidRPr="00CF1217" w:rsidRDefault="00C82095" w:rsidP="0040510B">
            <w:pPr>
              <w:jc w:val="center"/>
              <w:rPr>
                <w:rFonts w:cstheme="minorHAnsi"/>
                <w:b/>
              </w:rPr>
            </w:pPr>
            <w:r w:rsidRPr="00CF1217">
              <w:rPr>
                <w:rFonts w:cstheme="minorHAnsi"/>
                <w:b/>
              </w:rPr>
              <w:t>Dates Initiated/Completed</w:t>
            </w:r>
          </w:p>
        </w:tc>
      </w:tr>
      <w:tr w:rsidR="007E5C93" w:rsidRPr="00CF1217" w14:paraId="1694037B" w14:textId="77777777" w:rsidTr="0040510B">
        <w:tc>
          <w:tcPr>
            <w:tcW w:w="2965" w:type="dxa"/>
          </w:tcPr>
          <w:p w14:paraId="4C49241A" w14:textId="77777777" w:rsidR="00C82095" w:rsidRPr="00CF1217" w:rsidRDefault="00C82095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CF1217">
              <w:rPr>
                <w:rFonts w:asciiTheme="minorHAnsi" w:hAnsiTheme="minorHAnsi" w:cstheme="minorHAnsi"/>
                <w:bCs/>
                <w:sz w:val="20"/>
              </w:rPr>
              <w:t>Standard 4 (Human Resource Leadership):</w:t>
            </w:r>
          </w:p>
          <w:p w14:paraId="5519B929" w14:textId="77777777" w:rsidR="00A978AE" w:rsidRDefault="00A978AE" w:rsidP="00A978AE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520901BC" w14:textId="6AF60629" w:rsidR="00A978AE" w:rsidRPr="00CF1217" w:rsidRDefault="00A978AE" w:rsidP="00A978AE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CF1217">
              <w:rPr>
                <w:rFonts w:asciiTheme="minorHAnsi" w:hAnsiTheme="minorHAnsi" w:cstheme="minorHAnsi"/>
                <w:bCs/>
                <w:sz w:val="20"/>
              </w:rPr>
              <w:t>-</w:t>
            </w:r>
            <w:r w:rsidR="00BB2E3A">
              <w:rPr>
                <w:rFonts w:asciiTheme="minorHAnsi" w:hAnsiTheme="minorHAnsi" w:cstheme="minorHAnsi"/>
                <w:bCs/>
                <w:sz w:val="20"/>
              </w:rPr>
              <w:t>Provide growth mindset support for District Finance staff</w:t>
            </w:r>
            <w:r w:rsidR="008A499A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5E33214F" w14:textId="341E84D3" w:rsidR="00A978AE" w:rsidRDefault="00A978AE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11DA6753" w14:textId="02BA985F" w:rsidR="009B5883" w:rsidRDefault="009B588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4B743759" w14:textId="447C2C13" w:rsidR="009B5883" w:rsidRDefault="009B588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6AB39E1B" w14:textId="45A5AEDC" w:rsidR="009B5883" w:rsidRDefault="009B588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003214A7" w14:textId="77777777" w:rsidR="00610766" w:rsidRDefault="00610766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399D3254" w14:textId="77777777" w:rsidR="009B5883" w:rsidRDefault="009B588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74A7B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7FBB3F4C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1A52AA89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705968C4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141F8C53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39ADB441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215F332B" w14:textId="77777777" w:rsidR="00990681" w:rsidRDefault="00990681" w:rsidP="0040510B">
            <w:pPr>
              <w:pStyle w:val="TableParagraph"/>
              <w:rPr>
                <w:bCs/>
              </w:rPr>
            </w:pPr>
          </w:p>
          <w:p w14:paraId="51DAAD66" w14:textId="77777777" w:rsidR="00990681" w:rsidRDefault="00990681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368C6BA7" w14:textId="77777777" w:rsidR="00990681" w:rsidRDefault="00990681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2CFAE32C" w14:textId="335F6E24" w:rsidR="00C82095" w:rsidRDefault="00C82095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CF1217">
              <w:rPr>
                <w:rFonts w:asciiTheme="minorHAnsi" w:hAnsiTheme="minorHAnsi" w:cstheme="minorHAnsi"/>
                <w:bCs/>
                <w:sz w:val="20"/>
              </w:rPr>
              <w:t>-Continue to focus on and improve coaching, guiding, and mentoring administrators in the district</w:t>
            </w:r>
            <w:r w:rsidR="00AE0998">
              <w:rPr>
                <w:rFonts w:asciiTheme="minorHAnsi" w:hAnsiTheme="minorHAnsi" w:cstheme="minorHAnsi"/>
                <w:bCs/>
                <w:sz w:val="20"/>
              </w:rPr>
              <w:t xml:space="preserve"> including addressing the climate at TCCHS</w:t>
            </w:r>
          </w:p>
          <w:p w14:paraId="37880703" w14:textId="368CE133" w:rsidR="00C82095" w:rsidRDefault="00C82095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712B5C03" w14:textId="2775D3E8" w:rsidR="007E5C93" w:rsidRDefault="007E5C9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6E4F25A6" w14:textId="6D643E3F" w:rsidR="007E5C93" w:rsidRDefault="007E5C9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39B4FB49" w14:textId="77777777" w:rsidR="007E5C93" w:rsidRDefault="007E5C93" w:rsidP="0040510B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4E0893D4" w14:textId="77777777" w:rsidR="00C82095" w:rsidRPr="00CF1217" w:rsidRDefault="00C82095" w:rsidP="008B360E">
            <w:pPr>
              <w:pStyle w:val="TableParagraph"/>
              <w:rPr>
                <w:rFonts w:cstheme="minorHAnsi"/>
                <w:b/>
                <w:i/>
              </w:rPr>
            </w:pPr>
          </w:p>
        </w:tc>
        <w:tc>
          <w:tcPr>
            <w:tcW w:w="2582" w:type="dxa"/>
          </w:tcPr>
          <w:p w14:paraId="65B63FDE" w14:textId="77777777" w:rsidR="00C82095" w:rsidRPr="00B458A5" w:rsidRDefault="00C82095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092402E" w14:textId="77777777" w:rsidR="00C16CE4" w:rsidRPr="00B458A5" w:rsidRDefault="00C16CE4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A91BC69" w14:textId="77777777" w:rsidR="00DA50C9" w:rsidRPr="00B458A5" w:rsidRDefault="00DA50C9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7AFEB28" w14:textId="094F4EEB" w:rsidR="004D2745" w:rsidRPr="00B458A5" w:rsidRDefault="009B5883" w:rsidP="004D27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458A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Supervision of School Bookkeepers records &amp; oversite</w:t>
            </w:r>
            <w:r w:rsidR="004D2745" w:rsidRPr="00B458A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2DD2DEE" w14:textId="5E9A5804" w:rsidR="004D2745" w:rsidRPr="00B458A5" w:rsidRDefault="00B458A5" w:rsidP="004D27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Assist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ance and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guidance of School Bookkeepers</w:t>
            </w:r>
            <w:r w:rsidR="004D2745" w:rsidRPr="00B458A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2725362" w14:textId="50F5FF41" w:rsidR="004D2745" w:rsidRPr="00B458A5" w:rsidRDefault="00B458A5" w:rsidP="002747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Continue Finance PLC monthly meetings  </w:t>
            </w:r>
          </w:p>
          <w:p w14:paraId="4A802ED8" w14:textId="55CCA657" w:rsidR="004D2745" w:rsidRPr="00B458A5" w:rsidRDefault="002747C3" w:rsidP="004D27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Be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come more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visible in school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through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meeting with individual bookkeepers </w:t>
            </w:r>
            <w:r w:rsidR="004D2745" w:rsidRPr="00B458A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291DF19" w14:textId="6FE2B9E2" w:rsidR="004D2745" w:rsidRPr="00B458A5" w:rsidRDefault="00990681" w:rsidP="004D27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Complete school activity account audits</w:t>
            </w:r>
            <w:r w:rsidR="004D2745" w:rsidRPr="00B458A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E0A718F" w14:textId="652853E9" w:rsidR="00F75FD1" w:rsidRPr="00B458A5" w:rsidRDefault="00990681" w:rsidP="009906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Be available and responsive to staff regarding finance questions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and</w:t>
            </w:r>
            <w:r w:rsidR="004D2745" w:rsidRPr="00B458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inquiries</w:t>
            </w:r>
          </w:p>
          <w:p w14:paraId="6C0FEEA3" w14:textId="77777777" w:rsidR="00F75FD1" w:rsidRDefault="00F75FD1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074288B" w14:textId="77777777" w:rsidR="001E65F8" w:rsidRPr="00B458A5" w:rsidRDefault="001E65F8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BE992AF" w14:textId="75F5A6E1" w:rsidR="009B5883" w:rsidRDefault="007E5C93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B458A5">
              <w:rPr>
                <w:rFonts w:asciiTheme="minorHAnsi" w:hAnsiTheme="minorHAnsi" w:cstheme="minorHAnsi"/>
                <w:color w:val="auto"/>
                <w:sz w:val="20"/>
              </w:rPr>
              <w:t>-Work directly with TCCHS Administrators to address the climate at the high school</w:t>
            </w:r>
          </w:p>
          <w:p w14:paraId="5773D78D" w14:textId="4D80DCB5" w:rsidR="00BD6A36" w:rsidRDefault="00BD6A36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-Provide a mentor to work singularly with the TCCHS Administration</w:t>
            </w:r>
          </w:p>
          <w:p w14:paraId="07BF0F53" w14:textId="440CE14C" w:rsidR="00BD6A36" w:rsidRDefault="00BD6A36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-Regulate and monitor that students are in their assigned area</w:t>
            </w:r>
          </w:p>
          <w:p w14:paraId="1020DF68" w14:textId="23FFCB77" w:rsidR="00035DA2" w:rsidRDefault="00035DA2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-Adherence to defined discipline from the student code of conduct</w:t>
            </w:r>
          </w:p>
          <w:p w14:paraId="1326EE42" w14:textId="55C0C0C3" w:rsidR="00035DA2" w:rsidRDefault="00035DA2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-Adherence</w:t>
            </w:r>
            <w:r w:rsidR="00A079FA">
              <w:rPr>
                <w:rFonts w:asciiTheme="minorHAnsi" w:hAnsiTheme="minorHAnsi" w:cstheme="minorHAnsi"/>
                <w:color w:val="auto"/>
                <w:sz w:val="20"/>
              </w:rPr>
              <w:t xml:space="preserve"> for students to the defined dress code</w:t>
            </w:r>
          </w:p>
          <w:p w14:paraId="1C34B7BC" w14:textId="67476DF2" w:rsidR="00A079FA" w:rsidRDefault="00A079FA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-Defined roles for the TCCHS Guidance Counselor and College &amp; Career Coach positions</w:t>
            </w:r>
          </w:p>
          <w:p w14:paraId="19BE0120" w14:textId="31B54A90" w:rsidR="006E2C46" w:rsidRPr="00B458A5" w:rsidRDefault="006E2C46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-Ongoing communication with school staff and stakeholders</w:t>
            </w:r>
          </w:p>
          <w:p w14:paraId="195D7616" w14:textId="77777777" w:rsidR="007E5C93" w:rsidRPr="00B458A5" w:rsidRDefault="007E5C93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A1BFAFE" w14:textId="2F82F054" w:rsidR="007E5C93" w:rsidRPr="00B458A5" w:rsidRDefault="007E5C93" w:rsidP="004D2745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252" w:type="dxa"/>
          </w:tcPr>
          <w:p w14:paraId="67CF77A1" w14:textId="6A1B16C0" w:rsidR="00C82095" w:rsidRDefault="00C82095" w:rsidP="00DA50C9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2C44AAA1" w14:textId="77777777" w:rsidR="00DA50C9" w:rsidRDefault="00DA50C9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258E9A15" w14:textId="77777777" w:rsidR="00E7509C" w:rsidRDefault="00E7509C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13C17FE4" w14:textId="59B05700" w:rsidR="009B5883" w:rsidRDefault="00DA50C9" w:rsidP="008A499A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-Documentation from </w:t>
            </w:r>
            <w:r w:rsidR="008A499A">
              <w:rPr>
                <w:rFonts w:cstheme="minorHAnsi"/>
              </w:rPr>
              <w:t>agendas and support logs</w:t>
            </w:r>
          </w:p>
          <w:p w14:paraId="3489EC7B" w14:textId="1C4EFF45" w:rsidR="00AE0998" w:rsidRDefault="00AE0998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1DA3C12D" w14:textId="2E36ABAC" w:rsidR="00610766" w:rsidRDefault="00610766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0264B48A" w14:textId="77777777" w:rsidR="00610766" w:rsidRDefault="00610766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3285D858" w14:textId="77777777" w:rsidR="00F75FD1" w:rsidRDefault="00F75FD1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731E6409" w14:textId="77777777" w:rsidR="00F75FD1" w:rsidRDefault="00F75FD1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6DE38F12" w14:textId="77777777" w:rsidR="00990681" w:rsidRDefault="00990681" w:rsidP="00AE0998">
            <w:pPr>
              <w:spacing w:after="0" w:line="240" w:lineRule="auto"/>
              <w:jc w:val="left"/>
            </w:pPr>
          </w:p>
          <w:p w14:paraId="3E0E55C4" w14:textId="77777777" w:rsidR="00990681" w:rsidRDefault="00990681" w:rsidP="00AE0998">
            <w:pPr>
              <w:spacing w:after="0" w:line="240" w:lineRule="auto"/>
              <w:jc w:val="left"/>
            </w:pPr>
          </w:p>
          <w:p w14:paraId="789A759F" w14:textId="77777777" w:rsidR="00990681" w:rsidRDefault="00990681" w:rsidP="00AE0998">
            <w:pPr>
              <w:spacing w:after="0" w:line="240" w:lineRule="auto"/>
              <w:jc w:val="left"/>
            </w:pPr>
          </w:p>
          <w:p w14:paraId="6FBCE53E" w14:textId="77777777" w:rsidR="00990681" w:rsidRDefault="00990681" w:rsidP="00AE0998">
            <w:pPr>
              <w:spacing w:after="0" w:line="240" w:lineRule="auto"/>
              <w:jc w:val="left"/>
            </w:pPr>
          </w:p>
          <w:p w14:paraId="4931A7D6" w14:textId="77777777" w:rsidR="00990681" w:rsidRDefault="00990681" w:rsidP="00AE0998">
            <w:pPr>
              <w:spacing w:after="0" w:line="240" w:lineRule="auto"/>
              <w:jc w:val="left"/>
            </w:pPr>
          </w:p>
          <w:p w14:paraId="5F473C2B" w14:textId="77777777" w:rsidR="00990681" w:rsidRDefault="00990681" w:rsidP="00AE0998">
            <w:pPr>
              <w:spacing w:after="0" w:line="240" w:lineRule="auto"/>
              <w:jc w:val="left"/>
            </w:pPr>
          </w:p>
          <w:p w14:paraId="7C3A1078" w14:textId="77777777" w:rsidR="00990681" w:rsidRDefault="00990681" w:rsidP="00AE0998">
            <w:pPr>
              <w:spacing w:after="0" w:line="240" w:lineRule="auto"/>
              <w:jc w:val="left"/>
            </w:pPr>
          </w:p>
          <w:p w14:paraId="67543493" w14:textId="77777777" w:rsidR="00990681" w:rsidRDefault="00990681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7BE0534B" w14:textId="77777777" w:rsidR="00F75FD1" w:rsidRDefault="00F75FD1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69FA6010" w14:textId="77777777" w:rsidR="00990681" w:rsidRDefault="00990681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5D5516D9" w14:textId="77777777" w:rsidR="001E65F8" w:rsidRDefault="001E65F8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29EAF6E9" w14:textId="1A4DC4F7" w:rsidR="00A978AE" w:rsidRDefault="00DA50C9" w:rsidP="00AE0998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A978AE">
              <w:rPr>
                <w:rFonts w:cstheme="minorHAnsi"/>
              </w:rPr>
              <w:t>Documentation of the ongoing coaching, guidance, and mentoring support for administrators</w:t>
            </w:r>
          </w:p>
          <w:p w14:paraId="5DC140E0" w14:textId="77777777" w:rsidR="00C16CE4" w:rsidRDefault="00C16CE4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688FC5FC" w14:textId="2A41FFBB" w:rsidR="00AE0998" w:rsidRDefault="00AE0998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40FC62A1" w14:textId="65412EF0" w:rsidR="00AE0998" w:rsidRDefault="006E2C46" w:rsidP="00AE0998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41E16">
              <w:rPr>
                <w:rFonts w:cstheme="minorHAnsi"/>
              </w:rPr>
              <w:t>Observation</w:t>
            </w:r>
          </w:p>
          <w:p w14:paraId="2D181C06" w14:textId="77777777" w:rsidR="00641E16" w:rsidRDefault="00641E16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12544B6C" w14:textId="77777777" w:rsidR="00641E16" w:rsidRDefault="00641E16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544CC2F1" w14:textId="2E910477" w:rsidR="00641E16" w:rsidRDefault="00641E16" w:rsidP="00AE0998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-Observation, Infinite Campus student discipline data</w:t>
            </w:r>
          </w:p>
          <w:p w14:paraId="1E3BC402" w14:textId="77777777" w:rsidR="00641E16" w:rsidRDefault="00641E16" w:rsidP="00AE0998">
            <w:pPr>
              <w:spacing w:after="0" w:line="240" w:lineRule="auto"/>
              <w:jc w:val="left"/>
              <w:rPr>
                <w:rFonts w:cstheme="minorHAnsi"/>
              </w:rPr>
            </w:pPr>
          </w:p>
          <w:p w14:paraId="7D2B1700" w14:textId="113978AC" w:rsidR="00641E16" w:rsidRDefault="00641E16" w:rsidP="00641E16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-Observation, IC student discipline data</w:t>
            </w:r>
          </w:p>
          <w:p w14:paraId="771DAD29" w14:textId="669357CD" w:rsidR="00641E16" w:rsidRDefault="00DF743E" w:rsidP="00AE0998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-Listing of roles in communication to parents and listed on TCCHS’ website</w:t>
            </w:r>
          </w:p>
          <w:p w14:paraId="2C3DFF54" w14:textId="1789126E" w:rsidR="00DF743E" w:rsidRDefault="00DF743E" w:rsidP="00AE0998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-Emails, agendas, Remind messages</w:t>
            </w:r>
          </w:p>
          <w:p w14:paraId="5E78A6FB" w14:textId="59E2B03C" w:rsidR="00AE0998" w:rsidRPr="00CF1217" w:rsidRDefault="00AE0998" w:rsidP="008B360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2019" w:type="dxa"/>
          </w:tcPr>
          <w:p w14:paraId="2810FEC8" w14:textId="77777777" w:rsidR="00C82095" w:rsidRDefault="00C82095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5956A61" w14:textId="77777777" w:rsidR="00C16CE4" w:rsidRDefault="00C16CE4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F8EED09" w14:textId="047D8A6F" w:rsidR="00A978AE" w:rsidRPr="00CF1217" w:rsidRDefault="00A978AE" w:rsidP="00A978AE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08F3EC4" w14:textId="77777777" w:rsidR="000F682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</w:p>
          <w:p w14:paraId="26517E89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7233D1A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DED6DAF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060578C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72C8E1D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5D18579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6EE877C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3AFED57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E838174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2AB5F07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AC96B23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96190BA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81CE044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EF3DD91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3E9298F1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47C1A05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9C33380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EB9619A" w14:textId="77777777" w:rsidR="003E49B1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5AADAAD" w14:textId="28E25139" w:rsidR="003E49B1" w:rsidRPr="00CF1217" w:rsidRDefault="003E49B1" w:rsidP="0040510B">
            <w:pPr>
              <w:pStyle w:val="Body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</w:p>
        </w:tc>
      </w:tr>
    </w:tbl>
    <w:p w14:paraId="44448E18" w14:textId="77777777" w:rsidR="00126D4F" w:rsidRDefault="00126D4F" w:rsidP="00126D4F">
      <w:pPr>
        <w:spacing w:after="0" w:line="240" w:lineRule="auto"/>
        <w:rPr>
          <w:rFonts w:cstheme="minorHAnsi"/>
          <w:b/>
          <w:iCs/>
          <w:sz w:val="44"/>
          <w:szCs w:val="44"/>
        </w:rPr>
      </w:pPr>
    </w:p>
    <w:sectPr w:rsidR="00126D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15F3" w14:textId="77777777" w:rsidR="005E4A4C" w:rsidRDefault="005E4A4C" w:rsidP="003E49B1">
      <w:pPr>
        <w:spacing w:after="0" w:line="240" w:lineRule="auto"/>
      </w:pPr>
      <w:r>
        <w:separator/>
      </w:r>
    </w:p>
  </w:endnote>
  <w:endnote w:type="continuationSeparator" w:id="0">
    <w:p w14:paraId="278C5719" w14:textId="77777777" w:rsidR="005E4A4C" w:rsidRDefault="005E4A4C" w:rsidP="003E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2A76" w14:textId="511FA923" w:rsidR="003E49B1" w:rsidRDefault="003E49B1" w:rsidP="003E49B1">
    <w:pPr>
      <w:pStyle w:val="Footer"/>
      <w:jc w:val="center"/>
    </w:pPr>
  </w:p>
  <w:p w14:paraId="34EED27A" w14:textId="77777777" w:rsidR="003E49B1" w:rsidRDefault="003E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77A5" w14:textId="77777777" w:rsidR="005E4A4C" w:rsidRDefault="005E4A4C" w:rsidP="003E49B1">
      <w:pPr>
        <w:spacing w:after="0" w:line="240" w:lineRule="auto"/>
      </w:pPr>
      <w:r>
        <w:separator/>
      </w:r>
    </w:p>
  </w:footnote>
  <w:footnote w:type="continuationSeparator" w:id="0">
    <w:p w14:paraId="5138B6FA" w14:textId="77777777" w:rsidR="005E4A4C" w:rsidRDefault="005E4A4C" w:rsidP="003E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F62"/>
    <w:multiLevelType w:val="multilevel"/>
    <w:tmpl w:val="B0A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52A8E"/>
    <w:multiLevelType w:val="multilevel"/>
    <w:tmpl w:val="70A2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B3794"/>
    <w:multiLevelType w:val="multilevel"/>
    <w:tmpl w:val="C886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6710C"/>
    <w:multiLevelType w:val="hybridMultilevel"/>
    <w:tmpl w:val="791E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51E9"/>
    <w:multiLevelType w:val="multilevel"/>
    <w:tmpl w:val="3012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E15BE"/>
    <w:multiLevelType w:val="hybridMultilevel"/>
    <w:tmpl w:val="2F6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36BA"/>
    <w:multiLevelType w:val="multilevel"/>
    <w:tmpl w:val="767E4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3DF3A69"/>
    <w:multiLevelType w:val="multilevel"/>
    <w:tmpl w:val="4028C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67730692">
    <w:abstractNumId w:val="3"/>
  </w:num>
  <w:num w:numId="2" w16cid:durableId="508104997">
    <w:abstractNumId w:val="5"/>
  </w:num>
  <w:num w:numId="3" w16cid:durableId="507447049">
    <w:abstractNumId w:val="0"/>
  </w:num>
  <w:num w:numId="4" w16cid:durableId="308096505">
    <w:abstractNumId w:val="4"/>
  </w:num>
  <w:num w:numId="5" w16cid:durableId="1715497253">
    <w:abstractNumId w:val="6"/>
  </w:num>
  <w:num w:numId="6" w16cid:durableId="1911768855">
    <w:abstractNumId w:val="7"/>
  </w:num>
  <w:num w:numId="7" w16cid:durableId="2088184616">
    <w:abstractNumId w:val="1"/>
  </w:num>
  <w:num w:numId="8" w16cid:durableId="132967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90"/>
    <w:rsid w:val="00035DA2"/>
    <w:rsid w:val="000A5C63"/>
    <w:rsid w:val="000F6821"/>
    <w:rsid w:val="0012416F"/>
    <w:rsid w:val="00126D4F"/>
    <w:rsid w:val="0014041C"/>
    <w:rsid w:val="001903D4"/>
    <w:rsid w:val="001C410F"/>
    <w:rsid w:val="001C7D36"/>
    <w:rsid w:val="001E2A80"/>
    <w:rsid w:val="001E65F8"/>
    <w:rsid w:val="001F1988"/>
    <w:rsid w:val="00262F19"/>
    <w:rsid w:val="002747C3"/>
    <w:rsid w:val="00303F90"/>
    <w:rsid w:val="00342A9A"/>
    <w:rsid w:val="003E49B1"/>
    <w:rsid w:val="004D2745"/>
    <w:rsid w:val="004E04E4"/>
    <w:rsid w:val="00556A0A"/>
    <w:rsid w:val="005717E1"/>
    <w:rsid w:val="00591868"/>
    <w:rsid w:val="005B67BB"/>
    <w:rsid w:val="005E4A4C"/>
    <w:rsid w:val="00610766"/>
    <w:rsid w:val="00610930"/>
    <w:rsid w:val="0061698F"/>
    <w:rsid w:val="00641E16"/>
    <w:rsid w:val="006477B6"/>
    <w:rsid w:val="00674A3A"/>
    <w:rsid w:val="006E2C46"/>
    <w:rsid w:val="006E4D97"/>
    <w:rsid w:val="007159CD"/>
    <w:rsid w:val="007E5C93"/>
    <w:rsid w:val="008363EF"/>
    <w:rsid w:val="00845B41"/>
    <w:rsid w:val="008A499A"/>
    <w:rsid w:val="008B360E"/>
    <w:rsid w:val="00935D8F"/>
    <w:rsid w:val="009518A9"/>
    <w:rsid w:val="0097297F"/>
    <w:rsid w:val="00990681"/>
    <w:rsid w:val="009B5883"/>
    <w:rsid w:val="009D1B14"/>
    <w:rsid w:val="00A079FA"/>
    <w:rsid w:val="00A42841"/>
    <w:rsid w:val="00A978AE"/>
    <w:rsid w:val="00AE0998"/>
    <w:rsid w:val="00AE6110"/>
    <w:rsid w:val="00B458A5"/>
    <w:rsid w:val="00BB0E85"/>
    <w:rsid w:val="00BB2E3A"/>
    <w:rsid w:val="00BC0E32"/>
    <w:rsid w:val="00BD1E1C"/>
    <w:rsid w:val="00BD6A36"/>
    <w:rsid w:val="00BE3729"/>
    <w:rsid w:val="00BE7BD1"/>
    <w:rsid w:val="00C16CE4"/>
    <w:rsid w:val="00C52160"/>
    <w:rsid w:val="00C82095"/>
    <w:rsid w:val="00CF1217"/>
    <w:rsid w:val="00D2744C"/>
    <w:rsid w:val="00DA50C9"/>
    <w:rsid w:val="00DF743E"/>
    <w:rsid w:val="00E07174"/>
    <w:rsid w:val="00E17A90"/>
    <w:rsid w:val="00E6583C"/>
    <w:rsid w:val="00E7509C"/>
    <w:rsid w:val="00E77327"/>
    <w:rsid w:val="00E77E2E"/>
    <w:rsid w:val="00E804A0"/>
    <w:rsid w:val="00E86A25"/>
    <w:rsid w:val="00F44D89"/>
    <w:rsid w:val="00F55DEA"/>
    <w:rsid w:val="00F75FD1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6A3A"/>
  <w15:chartTrackingRefBased/>
  <w15:docId w15:val="{9F61CB95-0BEC-4EA8-86A7-E4DF8B3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90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17A9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1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74A3A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4A3A"/>
    <w:pPr>
      <w:ind w:left="720"/>
      <w:contextualSpacing/>
    </w:pPr>
  </w:style>
  <w:style w:type="paragraph" w:customStyle="1" w:styleId="paragraph">
    <w:name w:val="paragraph"/>
    <w:basedOn w:val="Normal"/>
    <w:rsid w:val="004D2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2745"/>
  </w:style>
  <w:style w:type="character" w:customStyle="1" w:styleId="eop">
    <w:name w:val="eop"/>
    <w:basedOn w:val="DefaultParagraphFont"/>
    <w:rsid w:val="004D2745"/>
  </w:style>
  <w:style w:type="paragraph" w:styleId="Header">
    <w:name w:val="header"/>
    <w:basedOn w:val="Normal"/>
    <w:link w:val="HeaderChar"/>
    <w:uiPriority w:val="99"/>
    <w:unhideWhenUsed/>
    <w:rsid w:val="003E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B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B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C236-CBD7-4A67-814B-CBD62B4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Mark Thomas</cp:lastModifiedBy>
  <cp:revision>7</cp:revision>
  <cp:lastPrinted>2023-07-25T12:33:00Z</cp:lastPrinted>
  <dcterms:created xsi:type="dcterms:W3CDTF">2023-07-21T12:59:00Z</dcterms:created>
  <dcterms:modified xsi:type="dcterms:W3CDTF">2023-08-08T15:05:00Z</dcterms:modified>
</cp:coreProperties>
</file>