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C376E9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587C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8AC4287" w:rsidR="006F0552" w:rsidRPr="00716300" w:rsidRDefault="0058587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526D98E" w:rsidR="00DE0B82" w:rsidRPr="00716300" w:rsidRDefault="005858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Momentive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61F1166" w:rsidR="00DE0B82" w:rsidRPr="00716300" w:rsidRDefault="005858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Survey Monkey to process Applications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FAB3669" w:rsidR="008A2749" w:rsidRPr="008A2749" w:rsidRDefault="005858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10/19/2023 – 10/18/2024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1AB2B2CF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84624">
        <w:rPr>
          <w:rFonts w:asciiTheme="minorHAnsi" w:hAnsiTheme="minorHAnsi" w:cstheme="minorHAnsi"/>
          <w:b/>
        </w:rPr>
        <w:t xml:space="preserve"> &amp; STRATEGIC PLAN GOAL: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6AE702F" w14:textId="38D73E25" w:rsidR="005A4560" w:rsidRDefault="005A45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1C.  Boone County Schools Portrait of a Graduate will develop a student graduate that embodies and values the competencies of integrity, communication, collaboration, learner’s mindset, and a global citizenship.  4.  Provide and encourage diverse college, career, and service pathways that meet the full breadth of our students’ passions, pursuits, and life readiness.</w:t>
          </w:r>
        </w:p>
        <w:p w14:paraId="03E9A220" w14:textId="6D126050" w:rsidR="00D072A8" w:rsidRPr="00DE0B82" w:rsidRDefault="005A45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3A.  Boone County Schools will utilize culturally responsive practices.  5.  Ensure that school information and communications are effectively conveyed to stakeholders.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F52865A" w14:textId="77777777" w:rsidR="0058587C" w:rsidRDefault="005858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with Momentive for Survey Monkey to process applications.</w:t>
          </w:r>
        </w:p>
        <w:p w14:paraId="18A64AD8" w14:textId="54826107" w:rsidR="00D072A8" w:rsidRDefault="0037334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73310F3" w:rsidR="00D072A8" w:rsidRPr="006F0552" w:rsidRDefault="005858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$6,339.75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9917B0F" w:rsidR="00DE0B82" w:rsidRDefault="005858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CB21DC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8587C">
            <w:rPr>
              <w:rFonts w:asciiTheme="minorHAnsi" w:hAnsiTheme="minorHAnsi" w:cstheme="minorHAnsi"/>
            </w:rPr>
            <w:t xml:space="preserve"> contract with Ignite Institute and Momentive for Survey Monkey to process applications,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95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021369">
    <w:abstractNumId w:val="12"/>
  </w:num>
  <w:num w:numId="3" w16cid:durableId="1014190421">
    <w:abstractNumId w:val="8"/>
  </w:num>
  <w:num w:numId="4" w16cid:durableId="310331133">
    <w:abstractNumId w:val="13"/>
  </w:num>
  <w:num w:numId="5" w16cid:durableId="898174381">
    <w:abstractNumId w:val="6"/>
  </w:num>
  <w:num w:numId="6" w16cid:durableId="242180658">
    <w:abstractNumId w:val="0"/>
  </w:num>
  <w:num w:numId="7" w16cid:durableId="1671063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8663484">
    <w:abstractNumId w:val="16"/>
  </w:num>
  <w:num w:numId="9" w16cid:durableId="1260063716">
    <w:abstractNumId w:val="1"/>
  </w:num>
  <w:num w:numId="10" w16cid:durableId="1784109347">
    <w:abstractNumId w:val="15"/>
  </w:num>
  <w:num w:numId="11" w16cid:durableId="1947226137">
    <w:abstractNumId w:val="19"/>
  </w:num>
  <w:num w:numId="12" w16cid:durableId="1563174484">
    <w:abstractNumId w:val="7"/>
  </w:num>
  <w:num w:numId="13" w16cid:durableId="836195309">
    <w:abstractNumId w:val="10"/>
  </w:num>
  <w:num w:numId="14" w16cid:durableId="1360231838">
    <w:abstractNumId w:val="9"/>
  </w:num>
  <w:num w:numId="15" w16cid:durableId="495725437">
    <w:abstractNumId w:val="17"/>
  </w:num>
  <w:num w:numId="16" w16cid:durableId="2056348769">
    <w:abstractNumId w:val="2"/>
  </w:num>
  <w:num w:numId="17" w16cid:durableId="1926301577">
    <w:abstractNumId w:val="5"/>
  </w:num>
  <w:num w:numId="18" w16cid:durableId="994575293">
    <w:abstractNumId w:val="14"/>
  </w:num>
  <w:num w:numId="19" w16cid:durableId="132061638">
    <w:abstractNumId w:val="18"/>
  </w:num>
  <w:num w:numId="20" w16cid:durableId="143015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3344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587C"/>
    <w:rsid w:val="005A45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4624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2023-07-20T17:59:00Z</cp:lastPrinted>
  <dcterms:created xsi:type="dcterms:W3CDTF">2023-07-17T13:01:00Z</dcterms:created>
  <dcterms:modified xsi:type="dcterms:W3CDTF">2023-07-20T17:59:00Z</dcterms:modified>
</cp:coreProperties>
</file>