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35F4" w14:textId="7136B64C" w:rsidR="000F09B8" w:rsidRDefault="000F09B8" w:rsidP="000F09B8">
      <w:pPr>
        <w:pStyle w:val="Heading1"/>
      </w:pPr>
      <w:r>
        <w:t>PERSONNEL</w:t>
      </w:r>
      <w:r>
        <w:tab/>
        <w:t>03.175</w:t>
      </w:r>
    </w:p>
    <w:p w14:paraId="7C4C802B" w14:textId="77777777" w:rsidR="000F09B8" w:rsidRDefault="000F09B8" w:rsidP="000F09B8">
      <w:pPr>
        <w:pStyle w:val="certstyle"/>
      </w:pPr>
      <w:r>
        <w:t>-Certified Personnel-</w:t>
      </w:r>
    </w:p>
    <w:p w14:paraId="1DDDF59C" w14:textId="77777777" w:rsidR="000F09B8" w:rsidRDefault="000F09B8" w:rsidP="000F09B8">
      <w:pPr>
        <w:pStyle w:val="policytitle"/>
        <w:spacing w:after="120"/>
      </w:pPr>
      <w:r>
        <w:t>Retirement</w:t>
      </w:r>
    </w:p>
    <w:p w14:paraId="672426D4" w14:textId="77777777" w:rsidR="000F09B8" w:rsidRPr="00D13B43" w:rsidRDefault="000F09B8" w:rsidP="000F09B8">
      <w:pPr>
        <w:pStyle w:val="sideheading"/>
      </w:pPr>
      <w:r w:rsidRPr="00D13B43">
        <w:t>Definition</w:t>
      </w:r>
    </w:p>
    <w:p w14:paraId="70F285F4" w14:textId="77777777" w:rsidR="000F09B8" w:rsidRPr="00D13B43" w:rsidRDefault="000F09B8" w:rsidP="000F09B8">
      <w:pPr>
        <w:pStyle w:val="BodyText"/>
        <w:spacing w:after="120"/>
        <w:rPr>
          <w:rFonts w:ascii="Times New Roman" w:hAnsi="Times New Roman"/>
        </w:rPr>
      </w:pPr>
      <w:r w:rsidRPr="00D13B43">
        <w:rPr>
          <w:rFonts w:ascii="Times New Roman" w:hAnsi="Times New Roman"/>
        </w:rPr>
        <w:t xml:space="preserve">Retirement means retirement from the </w:t>
      </w:r>
      <w:r>
        <w:rPr>
          <w:rFonts w:ascii="Times New Roman" w:hAnsi="Times New Roman"/>
        </w:rPr>
        <w:t>Teachers’ Retirement System (</w:t>
      </w:r>
      <w:r w:rsidRPr="00D13B43">
        <w:rPr>
          <w:rFonts w:ascii="Times New Roman" w:hAnsi="Times New Roman"/>
        </w:rPr>
        <w:t>TRS).</w:t>
      </w:r>
    </w:p>
    <w:p w14:paraId="2309D3E9" w14:textId="77777777" w:rsidR="000F09B8" w:rsidRPr="00D13B43" w:rsidRDefault="000F09B8" w:rsidP="000F09B8">
      <w:pPr>
        <w:pStyle w:val="sideheading"/>
      </w:pPr>
      <w:r w:rsidRPr="00D13B43">
        <w:t>Notice</w:t>
      </w:r>
    </w:p>
    <w:p w14:paraId="4B134545" w14:textId="77777777" w:rsidR="000F09B8" w:rsidRPr="00D13B43" w:rsidRDefault="000F09B8" w:rsidP="000F09B8">
      <w:pPr>
        <w:pStyle w:val="BodyText"/>
        <w:spacing w:after="120"/>
        <w:rPr>
          <w:rFonts w:ascii="Times New Roman" w:hAnsi="Times New Roman"/>
        </w:rPr>
      </w:pPr>
      <w:r w:rsidRPr="00D13B43">
        <w:rPr>
          <w:rFonts w:ascii="Times New Roman" w:hAnsi="Times New Roman"/>
        </w:rPr>
        <w:t xml:space="preserve">Employees planning to retire should give the </w:t>
      </w:r>
      <w:r w:rsidRPr="0089607A">
        <w:rPr>
          <w:rStyle w:val="ksbanormal"/>
        </w:rPr>
        <w:t>Executive Director</w:t>
      </w:r>
      <w:r w:rsidRPr="00D13B43">
        <w:rPr>
          <w:rFonts w:ascii="Times New Roman" w:hAnsi="Times New Roman"/>
        </w:rPr>
        <w:t xml:space="preserve"> notice as far in advance as possible, but not less than twenty (20) working days prior to retirement for certified and non-certified staff.</w:t>
      </w:r>
    </w:p>
    <w:p w14:paraId="3D5547AD" w14:textId="77777777" w:rsidR="000F09B8" w:rsidRPr="00D13B43" w:rsidRDefault="000F09B8" w:rsidP="000F09B8">
      <w:pPr>
        <w:pStyle w:val="sideheading"/>
      </w:pPr>
      <w:r w:rsidRPr="00D13B43">
        <w:t>Responsibility</w:t>
      </w:r>
    </w:p>
    <w:p w14:paraId="0BAB8900" w14:textId="77777777" w:rsidR="000F09B8" w:rsidRPr="00D13B43" w:rsidRDefault="000F09B8" w:rsidP="000F09B8">
      <w:pPr>
        <w:pStyle w:val="BodyText"/>
        <w:spacing w:after="120"/>
        <w:rPr>
          <w:rFonts w:ascii="Times New Roman" w:hAnsi="Times New Roman"/>
        </w:rPr>
      </w:pPr>
      <w:r w:rsidRPr="00D13B43">
        <w:rPr>
          <w:rFonts w:ascii="Times New Roman" w:hAnsi="Times New Roman"/>
        </w:rPr>
        <w:t xml:space="preserve">Retirement benefits shall be solely a matter of contract between the employee and the Teachers' Retirement System and shall not be the responsibility of </w:t>
      </w:r>
      <w:r w:rsidRPr="0089607A">
        <w:rPr>
          <w:rStyle w:val="ksbanormal"/>
        </w:rPr>
        <w:t>NKCES</w:t>
      </w:r>
      <w:r w:rsidRPr="00D13B43">
        <w:rPr>
          <w:rFonts w:ascii="Times New Roman" w:hAnsi="Times New Roman"/>
        </w:rPr>
        <w:t xml:space="preserve">, except that </w:t>
      </w:r>
      <w:r w:rsidRPr="0089607A">
        <w:rPr>
          <w:rStyle w:val="ksbanormal"/>
        </w:rPr>
        <w:t>NKCES</w:t>
      </w:r>
      <w:r w:rsidRPr="00D13B43">
        <w:rPr>
          <w:rFonts w:ascii="Times New Roman" w:hAnsi="Times New Roman"/>
        </w:rPr>
        <w:t xml:space="preserve"> shall deduct and send to the Teachers' Retirement System those amounts required under Kentucky law.</w:t>
      </w:r>
    </w:p>
    <w:p w14:paraId="4EB36D9C" w14:textId="77777777" w:rsidR="000F09B8" w:rsidRPr="00D13B43" w:rsidRDefault="000F09B8" w:rsidP="000F09B8">
      <w:pPr>
        <w:pStyle w:val="sideheading"/>
        <w:rPr>
          <w:iCs/>
        </w:rPr>
      </w:pPr>
      <w:r w:rsidRPr="00D13B43">
        <w:t>Unused Sick</w:t>
      </w:r>
      <w:r w:rsidRPr="00D13B43">
        <w:rPr>
          <w:iCs/>
        </w:rPr>
        <w:t xml:space="preserve"> Days</w:t>
      </w:r>
    </w:p>
    <w:p w14:paraId="5480E4BE" w14:textId="68BE5BE1" w:rsidR="000F09B8" w:rsidRPr="00D13B43" w:rsidRDefault="000F09B8" w:rsidP="000F09B8">
      <w:pPr>
        <w:pStyle w:val="BodyText"/>
        <w:spacing w:after="120"/>
        <w:rPr>
          <w:rFonts w:ascii="Times New Roman" w:hAnsi="Times New Roman"/>
          <w:i/>
          <w:iCs/>
        </w:rPr>
      </w:pPr>
      <w:r w:rsidRPr="00D13B43">
        <w:rPr>
          <w:rFonts w:ascii="Times New Roman" w:hAnsi="Times New Roman"/>
          <w:iCs/>
        </w:rPr>
        <w:t>P</w:t>
      </w:r>
      <w:r w:rsidRPr="00D13B43">
        <w:rPr>
          <w:rFonts w:ascii="Times New Roman" w:hAnsi="Times New Roman"/>
        </w:rPr>
        <w:t xml:space="preserve">rovided an individual has been employed by </w:t>
      </w:r>
      <w:r w:rsidRPr="0089607A">
        <w:rPr>
          <w:rStyle w:val="ksbanormal"/>
        </w:rPr>
        <w:t>NKCES</w:t>
      </w:r>
      <w:r w:rsidRPr="00D13B43">
        <w:rPr>
          <w:rFonts w:ascii="Times New Roman" w:hAnsi="Times New Roman"/>
        </w:rPr>
        <w:t xml:space="preserve"> </w:t>
      </w:r>
      <w:r w:rsidRPr="0089607A">
        <w:rPr>
          <w:rStyle w:val="ksbanormal"/>
        </w:rPr>
        <w:t>for at least four (4) consecutive years</w:t>
      </w:r>
      <w:r w:rsidRPr="00D13B43">
        <w:rPr>
          <w:rFonts w:ascii="Times New Roman" w:hAnsi="Times New Roman"/>
        </w:rPr>
        <w:t xml:space="preserve"> prior to retirement., </w:t>
      </w:r>
      <w:r w:rsidRPr="0089607A">
        <w:rPr>
          <w:rStyle w:val="ksbanormal"/>
        </w:rPr>
        <w:t>NKCES</w:t>
      </w:r>
      <w:r w:rsidRPr="00D13B43">
        <w:rPr>
          <w:rFonts w:ascii="Times New Roman" w:hAnsi="Times New Roman"/>
        </w:rPr>
        <w:t xml:space="preserve"> shall compensate eligible certified employees only upon initial retirement for 30% of unused sick leave days accumulated as an employee of </w:t>
      </w:r>
      <w:r w:rsidRPr="0089607A">
        <w:rPr>
          <w:rStyle w:val="ksbanormal"/>
        </w:rPr>
        <w:t>NKCES</w:t>
      </w:r>
      <w:r w:rsidRPr="00D13B43">
        <w:rPr>
          <w:rFonts w:ascii="Times New Roman" w:hAnsi="Times New Roman"/>
        </w:rPr>
        <w:t xml:space="preserve"> at the rate of their current daily salary. </w:t>
      </w:r>
      <w:r w:rsidRPr="00D13B43">
        <w:rPr>
          <w:rStyle w:val="ksbanormal"/>
        </w:rPr>
        <w:t>For personnel who begin employment</w:t>
      </w:r>
      <w:r>
        <w:rPr>
          <w:rStyle w:val="ksbanormal"/>
        </w:rPr>
        <w:t xml:space="preserve"> in a position covered by </w:t>
      </w:r>
      <w:r w:rsidRPr="00D13B43">
        <w:rPr>
          <w:rStyle w:val="ksbanormal"/>
        </w:rPr>
        <w:t xml:space="preserve">TRS on or after July 1, 2008, unused sick leave days to be recognized in calculating reimbursement under </w:t>
      </w:r>
      <w:hyperlink r:id="rId6" w:history="1">
        <w:r w:rsidR="0089607A">
          <w:rPr>
            <w:rStyle w:val="Hyperlink"/>
            <w:rFonts w:ascii="Times New Roman" w:hAnsi="Times New Roman"/>
          </w:rPr>
          <w:t>KRS 161.155</w:t>
        </w:r>
      </w:hyperlink>
      <w:r w:rsidRPr="00D13B43">
        <w:rPr>
          <w:rStyle w:val="ksbanormal"/>
        </w:rPr>
        <w:t xml:space="preserve"> shall not exceed 300 days.</w:t>
      </w:r>
      <w:r w:rsidRPr="00BE3E47">
        <w:rPr>
          <w:rStyle w:val="ksbanormal"/>
        </w:rPr>
        <w:t xml:space="preserve"> For personnel who become members of the Teachers’ Retirement System on or after January 1, 2022, payment for unused sick leave days shall not be incorporated into the annual compensation used to calculate the retirement allowance in the foundational benefit but may be deposited into the member’s supplemental benefit component.</w:t>
      </w:r>
      <w:r>
        <w:rPr>
          <w:vertAlign w:val="superscript"/>
        </w:rPr>
        <w:t>1</w:t>
      </w:r>
    </w:p>
    <w:p w14:paraId="6FD43C84" w14:textId="77777777" w:rsidR="000F09B8" w:rsidRPr="007D6E27" w:rsidRDefault="000F09B8" w:rsidP="000F09B8">
      <w:pPr>
        <w:pStyle w:val="policytext"/>
        <w:rPr>
          <w:rStyle w:val="ksbanormal"/>
        </w:rPr>
      </w:pPr>
      <w:r w:rsidRPr="0089607A">
        <w:rPr>
          <w:rStyle w:val="ksbanormal"/>
        </w:rPr>
        <w:t>NKCES</w:t>
      </w:r>
      <w:r>
        <w:t xml:space="preserve"> shall provide compensation for unused sick leave days when the employee provides proof s/he qualifies as an annuitant who will receive a retirement or disability allowance from the Teachers’ Retirement System. </w:t>
      </w:r>
      <w:r w:rsidRPr="007D6E27">
        <w:rPr>
          <w:rStyle w:val="ksbanormal"/>
        </w:rPr>
        <w:t xml:space="preserve">Upon death of an employee in active contributing status who was eligible to retire by reason of service, </w:t>
      </w:r>
      <w:r w:rsidRPr="0089607A">
        <w:rPr>
          <w:rStyle w:val="ksbanormal"/>
        </w:rPr>
        <w:t>NKCES</w:t>
      </w:r>
      <w:r w:rsidRPr="007D6E27">
        <w:rPr>
          <w:rStyle w:val="ksbanormal"/>
        </w:rPr>
        <w:t xml:space="preserve"> shall compensate the estate of the employee.</w:t>
      </w:r>
    </w:p>
    <w:p w14:paraId="3C227895" w14:textId="77777777" w:rsidR="000F09B8" w:rsidRPr="00D13B43" w:rsidRDefault="000F09B8" w:rsidP="000F09B8">
      <w:pPr>
        <w:pStyle w:val="sideheading"/>
      </w:pPr>
      <w:r w:rsidRPr="00D13B43">
        <w:t>Escrow Account</w:t>
      </w:r>
    </w:p>
    <w:p w14:paraId="1178C3E0" w14:textId="77777777" w:rsidR="000F09B8" w:rsidRPr="00D13B43" w:rsidRDefault="000F09B8" w:rsidP="000F09B8">
      <w:pPr>
        <w:pStyle w:val="BodyText"/>
        <w:spacing w:after="120"/>
        <w:rPr>
          <w:rFonts w:ascii="Times New Roman" w:hAnsi="Times New Roman"/>
        </w:rPr>
      </w:pPr>
      <w:r w:rsidRPr="0089607A">
        <w:rPr>
          <w:rStyle w:val="ksbanormal"/>
        </w:rPr>
        <w:t>NKCES</w:t>
      </w:r>
      <w:r w:rsidRPr="00D13B43">
        <w:rPr>
          <w:rFonts w:ascii="Times New Roman" w:hAnsi="Times New Roman"/>
        </w:rPr>
        <w:t xml:space="preserve"> has created an escrow account to maintain the funds necessary to reimburse employees who qualify for the benefit. </w:t>
      </w:r>
      <w:r w:rsidRPr="0089607A">
        <w:rPr>
          <w:rStyle w:val="ksbanormal"/>
        </w:rPr>
        <w:t>At least 50% of each year’s maximum liability shall be included as a line item in the General Fund Budget.</w:t>
      </w:r>
    </w:p>
    <w:p w14:paraId="60FF1063" w14:textId="77777777" w:rsidR="000F09B8" w:rsidRDefault="000F09B8" w:rsidP="000F09B8">
      <w:pPr>
        <w:pStyle w:val="sideheading"/>
        <w:spacing w:after="0"/>
      </w:pPr>
      <w:r>
        <w:t>References:</w:t>
      </w:r>
    </w:p>
    <w:p w14:paraId="34247FA8" w14:textId="70C9C846" w:rsidR="000F09B8" w:rsidRDefault="000F09B8" w:rsidP="000F09B8">
      <w:pPr>
        <w:pStyle w:val="Reference"/>
      </w:pPr>
      <w:r>
        <w:rPr>
          <w:vertAlign w:val="superscript"/>
        </w:rPr>
        <w:t>1</w:t>
      </w:r>
      <w:hyperlink r:id="rId7" w:history="1">
        <w:r w:rsidR="0089607A">
          <w:rPr>
            <w:rStyle w:val="Hyperlink"/>
          </w:rPr>
          <w:t>KRS 161.155</w:t>
        </w:r>
      </w:hyperlink>
    </w:p>
    <w:p w14:paraId="774213C3" w14:textId="29758F7E" w:rsidR="000F09B8" w:rsidRDefault="000F09B8" w:rsidP="000F09B8">
      <w:pPr>
        <w:pStyle w:val="Reference"/>
      </w:pPr>
      <w:r>
        <w:t xml:space="preserve"> </w:t>
      </w:r>
      <w:hyperlink r:id="rId8" w:history="1">
        <w:r w:rsidR="0089607A">
          <w:rPr>
            <w:rStyle w:val="Hyperlink"/>
          </w:rPr>
          <w:t>KRS 157.420</w:t>
        </w:r>
      </w:hyperlink>
      <w:r>
        <w:t xml:space="preserve">; </w:t>
      </w:r>
      <w:hyperlink r:id="rId9" w:history="1">
        <w:r w:rsidR="0089607A">
          <w:rPr>
            <w:rStyle w:val="Hyperlink"/>
          </w:rPr>
          <w:t>KRS 161.220</w:t>
        </w:r>
      </w:hyperlink>
    </w:p>
    <w:p w14:paraId="3CFD27D6" w14:textId="555559FF" w:rsidR="000F09B8" w:rsidRDefault="000F09B8" w:rsidP="000F09B8">
      <w:pPr>
        <w:pStyle w:val="Reference"/>
      </w:pPr>
      <w:r>
        <w:t xml:space="preserve"> </w:t>
      </w:r>
      <w:hyperlink r:id="rId10" w:history="1">
        <w:r w:rsidR="0089607A">
          <w:rPr>
            <w:rStyle w:val="Hyperlink"/>
          </w:rPr>
          <w:t>KRS 161.540</w:t>
        </w:r>
      </w:hyperlink>
      <w:r>
        <w:t xml:space="preserve">; </w:t>
      </w:r>
      <w:hyperlink r:id="rId11" w:history="1">
        <w:r w:rsidR="0089607A">
          <w:rPr>
            <w:rStyle w:val="Hyperlink"/>
          </w:rPr>
          <w:t>KRS 161.545</w:t>
        </w:r>
      </w:hyperlink>
    </w:p>
    <w:p w14:paraId="56EE0A4B" w14:textId="2C6FC162" w:rsidR="000F09B8" w:rsidRDefault="000F09B8" w:rsidP="000F09B8">
      <w:pPr>
        <w:pStyle w:val="Reference"/>
      </w:pPr>
      <w:r>
        <w:t xml:space="preserve"> </w:t>
      </w:r>
      <w:hyperlink r:id="rId12" w:history="1">
        <w:r w:rsidR="0089607A">
          <w:rPr>
            <w:rStyle w:val="Hyperlink"/>
          </w:rPr>
          <w:t>KRS 161.560</w:t>
        </w:r>
      </w:hyperlink>
      <w:r>
        <w:t xml:space="preserve">; </w:t>
      </w:r>
      <w:hyperlink r:id="rId13" w:history="1">
        <w:r w:rsidR="0089607A">
          <w:rPr>
            <w:rStyle w:val="Hyperlink"/>
          </w:rPr>
          <w:t>KRS 161.600</w:t>
        </w:r>
      </w:hyperlink>
    </w:p>
    <w:p w14:paraId="050DB904" w14:textId="5FDA8962" w:rsidR="000F09B8" w:rsidRPr="00BE3E47" w:rsidRDefault="000F09B8" w:rsidP="000F09B8">
      <w:pPr>
        <w:pStyle w:val="Reference"/>
        <w:rPr>
          <w:rStyle w:val="ksbanormal"/>
        </w:rPr>
      </w:pPr>
      <w:r>
        <w:t xml:space="preserve"> </w:t>
      </w:r>
      <w:hyperlink r:id="rId14" w:history="1">
        <w:r w:rsidR="0089607A">
          <w:rPr>
            <w:rStyle w:val="Hyperlink"/>
          </w:rPr>
          <w:t>KRS 161.633</w:t>
        </w:r>
      </w:hyperlink>
      <w:r>
        <w:rPr>
          <w:rStyle w:val="ksbanormal"/>
        </w:rPr>
        <w:t xml:space="preserve">; </w:t>
      </w:r>
      <w:hyperlink r:id="rId15" w:history="1">
        <w:r w:rsidR="0089607A">
          <w:rPr>
            <w:rStyle w:val="Hyperlink"/>
          </w:rPr>
          <w:t>KRS 161.635</w:t>
        </w:r>
      </w:hyperlink>
    </w:p>
    <w:p w14:paraId="7A7F72CA" w14:textId="7BF14AEF" w:rsidR="000F09B8" w:rsidRDefault="000F09B8" w:rsidP="000F09B8">
      <w:pPr>
        <w:pStyle w:val="Reference"/>
      </w:pPr>
      <w:r>
        <w:t xml:space="preserve"> </w:t>
      </w:r>
      <w:hyperlink r:id="rId16" w:history="1">
        <w:r w:rsidR="0089607A">
          <w:rPr>
            <w:rStyle w:val="Hyperlink"/>
          </w:rPr>
          <w:t>OAG 81</w:t>
        </w:r>
        <w:r w:rsidR="0089607A">
          <w:rPr>
            <w:rStyle w:val="Hyperlink"/>
          </w:rPr>
          <w:noBreakHyphen/>
          <w:t>1</w:t>
        </w:r>
      </w:hyperlink>
      <w:r>
        <w:t xml:space="preserve">; </w:t>
      </w:r>
      <w:hyperlink r:id="rId17" w:history="1">
        <w:r w:rsidR="0089607A">
          <w:rPr>
            <w:rStyle w:val="Hyperlink"/>
          </w:rPr>
          <w:t>OAG 83</w:t>
        </w:r>
        <w:r w:rsidR="0089607A">
          <w:rPr>
            <w:rStyle w:val="Hyperlink"/>
          </w:rPr>
          <w:noBreakHyphen/>
          <w:t>191</w:t>
        </w:r>
      </w:hyperlink>
      <w:r>
        <w:t xml:space="preserve">; </w:t>
      </w:r>
      <w:hyperlink r:id="rId18" w:history="1">
        <w:r w:rsidR="0089607A">
          <w:rPr>
            <w:rStyle w:val="Hyperlink"/>
          </w:rPr>
          <w:t>OAG 97-28</w:t>
        </w:r>
      </w:hyperlink>
    </w:p>
    <w:p w14:paraId="0663B343" w14:textId="77777777" w:rsidR="000F09B8" w:rsidRPr="003A3398" w:rsidRDefault="000F09B8" w:rsidP="000F09B8">
      <w:pPr>
        <w:pStyle w:val="Reference"/>
      </w:pPr>
      <w:r>
        <w:t xml:space="preserve"> 29 U.S.C. 631</w:t>
      </w:r>
    </w:p>
    <w:p w14:paraId="39E0B8D4" w14:textId="23941FBE" w:rsidR="000F09B8" w:rsidRDefault="0089607A" w:rsidP="000F09B8">
      <w:pPr>
        <w:pStyle w:val="policytextright"/>
      </w:pPr>
      <w:r>
        <w:t>Adopted/Amended: 8/4/2021</w:t>
      </w:r>
    </w:p>
    <w:p w14:paraId="7D1F6C49" w14:textId="04B7860B" w:rsidR="00F776E7" w:rsidRDefault="0089607A" w:rsidP="000F09B8">
      <w:pPr>
        <w:pStyle w:val="policytextright"/>
      </w:pPr>
      <w:r>
        <w:t xml:space="preserve">Order #:         </w:t>
      </w:r>
    </w:p>
    <w:sectPr w:rsidR="00F776E7" w:rsidSect="007F61AD">
      <w:footerReference w:type="default" r:id="rId19"/>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694B" w14:textId="77777777" w:rsidR="004E7100" w:rsidRDefault="004E7100" w:rsidP="000F09B8">
      <w:r>
        <w:separator/>
      </w:r>
    </w:p>
  </w:endnote>
  <w:endnote w:type="continuationSeparator" w:id="0">
    <w:p w14:paraId="39268F6E" w14:textId="77777777" w:rsidR="004E7100" w:rsidRDefault="004E7100" w:rsidP="000F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7381" w14:textId="77777777" w:rsidR="000F09B8" w:rsidRPr="000F09B8" w:rsidRDefault="000F09B8" w:rsidP="000F09B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0DF62" w14:textId="77777777" w:rsidR="004E7100" w:rsidRDefault="004E7100" w:rsidP="000F09B8">
      <w:r>
        <w:separator/>
      </w:r>
    </w:p>
  </w:footnote>
  <w:footnote w:type="continuationSeparator" w:id="0">
    <w:p w14:paraId="1E5A0361" w14:textId="77777777" w:rsidR="004E7100" w:rsidRDefault="004E7100" w:rsidP="000F0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B8"/>
    <w:rsid w:val="000F09B8"/>
    <w:rsid w:val="001923BD"/>
    <w:rsid w:val="001A33F8"/>
    <w:rsid w:val="0035105A"/>
    <w:rsid w:val="004448C7"/>
    <w:rsid w:val="004A6E6A"/>
    <w:rsid w:val="004E7100"/>
    <w:rsid w:val="00550D69"/>
    <w:rsid w:val="005A7BD9"/>
    <w:rsid w:val="005C6373"/>
    <w:rsid w:val="00625509"/>
    <w:rsid w:val="006F655E"/>
    <w:rsid w:val="007F61AD"/>
    <w:rsid w:val="0089607A"/>
    <w:rsid w:val="00AF40A3"/>
    <w:rsid w:val="00C05473"/>
    <w:rsid w:val="00CE2F76"/>
    <w:rsid w:val="00D400A6"/>
    <w:rsid w:val="00D81418"/>
    <w:rsid w:val="00D835C7"/>
    <w:rsid w:val="00DF1EED"/>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0E75"/>
  <w15:docId w15:val="{90EF78DB-841A-4C02-8647-5972739C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0F09B8"/>
    <w:pPr>
      <w:tabs>
        <w:tab w:val="center" w:pos="4680"/>
        <w:tab w:val="right" w:pos="9360"/>
      </w:tabs>
    </w:pPr>
  </w:style>
  <w:style w:type="character" w:customStyle="1" w:styleId="HeaderChar">
    <w:name w:val="Header Char"/>
    <w:basedOn w:val="DefaultParagraphFont"/>
    <w:link w:val="Header"/>
    <w:uiPriority w:val="99"/>
    <w:rsid w:val="000F09B8"/>
    <w:rPr>
      <w:rFonts w:ascii="Times New Roman" w:hAnsi="Times New Roman" w:cs="Times New Roman"/>
      <w:sz w:val="24"/>
      <w:szCs w:val="20"/>
    </w:rPr>
  </w:style>
  <w:style w:type="paragraph" w:styleId="Footer">
    <w:name w:val="footer"/>
    <w:basedOn w:val="Normal"/>
    <w:link w:val="FooterChar"/>
    <w:uiPriority w:val="99"/>
    <w:unhideWhenUsed/>
    <w:rsid w:val="000F09B8"/>
    <w:pPr>
      <w:tabs>
        <w:tab w:val="center" w:pos="4680"/>
        <w:tab w:val="right" w:pos="9360"/>
      </w:tabs>
    </w:pPr>
  </w:style>
  <w:style w:type="character" w:customStyle="1" w:styleId="FooterChar">
    <w:name w:val="Footer Char"/>
    <w:basedOn w:val="DefaultParagraphFont"/>
    <w:link w:val="Footer"/>
    <w:uiPriority w:val="99"/>
    <w:rsid w:val="000F09B8"/>
    <w:rPr>
      <w:rFonts w:ascii="Times New Roman" w:hAnsi="Times New Roman" w:cs="Times New Roman"/>
      <w:sz w:val="24"/>
      <w:szCs w:val="20"/>
    </w:rPr>
  </w:style>
  <w:style w:type="character" w:styleId="PageNumber">
    <w:name w:val="page number"/>
    <w:basedOn w:val="DefaultParagraphFont"/>
    <w:uiPriority w:val="99"/>
    <w:semiHidden/>
    <w:unhideWhenUsed/>
    <w:rsid w:val="000F09B8"/>
  </w:style>
  <w:style w:type="character" w:customStyle="1" w:styleId="policytextChar">
    <w:name w:val="policytext Char"/>
    <w:link w:val="policytext"/>
    <w:rsid w:val="000F09B8"/>
    <w:rPr>
      <w:rFonts w:ascii="Times New Roman" w:hAnsi="Times New Roman" w:cs="Times New Roman"/>
      <w:sz w:val="24"/>
      <w:szCs w:val="20"/>
    </w:rPr>
  </w:style>
  <w:style w:type="character" w:customStyle="1" w:styleId="sideheadingChar">
    <w:name w:val="sideheading Char"/>
    <w:link w:val="sideheading"/>
    <w:rsid w:val="000F09B8"/>
    <w:rPr>
      <w:rFonts w:ascii="Times New Roman" w:hAnsi="Times New Roman" w:cs="Times New Roman"/>
      <w:b/>
      <w:smallCaps/>
      <w:sz w:val="24"/>
      <w:szCs w:val="20"/>
    </w:rPr>
  </w:style>
  <w:style w:type="character" w:customStyle="1" w:styleId="ReferenceChar">
    <w:name w:val="Reference Char"/>
    <w:basedOn w:val="policytextChar"/>
    <w:link w:val="Reference"/>
    <w:rsid w:val="000F09B8"/>
    <w:rPr>
      <w:rFonts w:ascii="Times New Roman" w:hAnsi="Times New Roman" w:cs="Times New Roman"/>
      <w:sz w:val="24"/>
      <w:szCs w:val="20"/>
    </w:rPr>
  </w:style>
  <w:style w:type="character" w:customStyle="1" w:styleId="policytitleChar">
    <w:name w:val="policytitle Char"/>
    <w:link w:val="policytitle"/>
    <w:rsid w:val="000F09B8"/>
    <w:rPr>
      <w:rFonts w:ascii="Times New Roman" w:hAnsi="Times New Roman" w:cs="Times New Roman"/>
      <w:b/>
      <w:sz w:val="28"/>
      <w:szCs w:val="20"/>
      <w:u w:val="words"/>
    </w:rPr>
  </w:style>
  <w:style w:type="paragraph" w:styleId="BodyText">
    <w:name w:val="Body Text"/>
    <w:basedOn w:val="Normal"/>
    <w:link w:val="BodyTextChar"/>
    <w:rsid w:val="000F09B8"/>
    <w:pPr>
      <w:overflowPunct/>
      <w:autoSpaceDE/>
      <w:autoSpaceDN/>
      <w:adjustRightInd/>
      <w:spacing w:after="240"/>
      <w:jc w:val="both"/>
      <w:textAlignment w:val="auto"/>
    </w:pPr>
    <w:rPr>
      <w:rFonts w:ascii="Garamond" w:hAnsi="Garamond"/>
      <w:spacing w:val="-5"/>
    </w:rPr>
  </w:style>
  <w:style w:type="character" w:customStyle="1" w:styleId="BodyTextChar">
    <w:name w:val="Body Text Char"/>
    <w:basedOn w:val="DefaultParagraphFont"/>
    <w:link w:val="BodyText"/>
    <w:rsid w:val="000F09B8"/>
    <w:rPr>
      <w:rFonts w:ascii="Garamond" w:hAnsi="Garamond" w:cs="Times New Roman"/>
      <w:spacing w:val="-5"/>
      <w:sz w:val="24"/>
      <w:szCs w:val="20"/>
    </w:rPr>
  </w:style>
  <w:style w:type="character" w:styleId="Hyperlink">
    <w:name w:val="Hyperlink"/>
    <w:basedOn w:val="DefaultParagraphFont"/>
    <w:uiPriority w:val="99"/>
    <w:unhideWhenUsed/>
    <w:rsid w:val="0089607A"/>
    <w:rPr>
      <w:color w:val="0000FF" w:themeColor="hyperlink"/>
      <w:u w:val="single"/>
    </w:rPr>
  </w:style>
  <w:style w:type="character" w:styleId="UnresolvedMention">
    <w:name w:val="Unresolved Mention"/>
    <w:basedOn w:val="DefaultParagraphFont"/>
    <w:uiPriority w:val="99"/>
    <w:semiHidden/>
    <w:unhideWhenUsed/>
    <w:rsid w:val="00896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7-00/420.pdf&amp;requesttype=krs" TargetMode="External"/><Relationship Id="rId13" Type="http://schemas.openxmlformats.org/officeDocument/2006/relationships/hyperlink" Target="http://policy.ksba.org//DocumentManager.aspx?requestarticle=/KRS/161-00/600.pdf&amp;requesttype=krs" TargetMode="External"/><Relationship Id="rId18" Type="http://schemas.openxmlformats.org/officeDocument/2006/relationships/hyperlink" Target="http://policy.ksba.org//documentmanager.aspx?requestarticle=/civil/opinions/OAG9728.htm&amp;requesttype=oa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policy.ksba.org//DocumentManager.aspx?requestarticle=/KRS/161-00/155.pdf&amp;requesttype=krs" TargetMode="External"/><Relationship Id="rId12" Type="http://schemas.openxmlformats.org/officeDocument/2006/relationships/hyperlink" Target="http://policy.ksba.org//DocumentManager.aspx?requestarticle=/KRS/161-00/560.pdf&amp;requesttype=krs" TargetMode="External"/><Relationship Id="rId17" Type="http://schemas.openxmlformats.org/officeDocument/2006/relationships/hyperlink" Target="http://policy.ksba.org//documentmanager.aspx?requestarticle=/civil/opinions/OAG83191.htm&amp;requesttype=oag" TargetMode="External"/><Relationship Id="rId2" Type="http://schemas.openxmlformats.org/officeDocument/2006/relationships/settings" Target="settings.xml"/><Relationship Id="rId16" Type="http://schemas.openxmlformats.org/officeDocument/2006/relationships/hyperlink" Target="http://policy.ksba.org//documentmanager.aspx?requestarticle=/civil/opinions/OAG811.htm&amp;requesttype=oa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olicy.ksba.org//DocumentManager.aspx?requestarticle=/KRS/161-00/155.pdf&amp;requesttype=krs" TargetMode="External"/><Relationship Id="rId11" Type="http://schemas.openxmlformats.org/officeDocument/2006/relationships/hyperlink" Target="http://policy.ksba.org//DocumentManager.aspx?requestarticle=/KRS/161-00/545.pdf&amp;requesttype=krs" TargetMode="External"/><Relationship Id="rId5" Type="http://schemas.openxmlformats.org/officeDocument/2006/relationships/endnotes" Target="endnotes.xml"/><Relationship Id="rId15" Type="http://schemas.openxmlformats.org/officeDocument/2006/relationships/hyperlink" Target="http://policy.ksba.org//DocumentManager.aspx?requestarticle=/KRS/161-00/635.pdf&amp;requesttype=krs" TargetMode="External"/><Relationship Id="rId10" Type="http://schemas.openxmlformats.org/officeDocument/2006/relationships/hyperlink" Target="http://policy.ksba.org//DocumentManager.aspx?requestarticle=/KRS/161-00/540.pdf&amp;requesttype=krs"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policy.ksba.org//DocumentManager.aspx?requestarticle=/KRS/161-00/220.pdf&amp;requesttype=krs" TargetMode="External"/><Relationship Id="rId14" Type="http://schemas.openxmlformats.org/officeDocument/2006/relationships/hyperlink" Target="http://policy.ksba.org//DocumentManager.aspx?requestarticle=/KRS/161-00/633.pdf&amp;requesttype=k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Jessica Faust</cp:lastModifiedBy>
  <cp:revision>2</cp:revision>
  <dcterms:created xsi:type="dcterms:W3CDTF">2023-03-23T15:57:00Z</dcterms:created>
  <dcterms:modified xsi:type="dcterms:W3CDTF">2023-03-23T15:57:00Z</dcterms:modified>
</cp:coreProperties>
</file>