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011D7E3E" w:rsidR="00D072A8" w:rsidRPr="00DC0BDE" w:rsidRDefault="00C046D1" w:rsidP="00DC0BDE">
      <w:pPr>
        <w:pStyle w:val="NoSpacing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68" w:rsidRPr="00785F2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619C0CA" w:rsidR="006F0552" w:rsidRPr="00716300" w:rsidRDefault="00213BE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2DE7CCF" w:rsidR="00DE0B82" w:rsidRPr="00716300" w:rsidRDefault="00213B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Mansfield Oil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96EC650" w:rsidR="00DE0B82" w:rsidRPr="00716300" w:rsidRDefault="00213BE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 xml:space="preserve">Gasoline and Diesel Fuel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F72CEAF" w:rsidR="008A2749" w:rsidRPr="008A2749" w:rsidRDefault="00213B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4/1/23 through 3/31/23 with 2 renewal options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482358624"/>
            <w:placeholder>
              <w:docPart w:val="182E41BB07FF444F981F0B03249F06D8"/>
            </w:placeholder>
          </w:sdtPr>
          <w:sdtEndPr>
            <w:rPr>
              <w:rStyle w:val="PlaceholderText"/>
            </w:rPr>
          </w:sdtEndPr>
          <w:sdtContent>
            <w:p w14:paraId="03E9A220" w14:textId="7AFF549D" w:rsidR="00D072A8" w:rsidRPr="00DE0B82" w:rsidRDefault="00A0491A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</w:rPr>
                  <w:id w:val="926845983"/>
                  <w:placeholder>
                    <w:docPart w:val="D9A3E15563EC48D18FF21A547B710DEE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213BE4">
                    <w:rPr>
                      <w:rStyle w:val="PlaceholderText"/>
                    </w:rPr>
                    <w:t>04.32 Model Procurement Code Purchasing</w:t>
                  </w:r>
                </w:sdtContent>
              </w:sdt>
            </w:p>
          </w:sdtContent>
        </w:sdt>
      </w:sdtContent>
    </w:sdt>
    <w:p w14:paraId="782D36A5" w14:textId="3980357A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0A15D6A" w14:textId="73ADDE47" w:rsidR="00A0491A" w:rsidRPr="00A0491A" w:rsidRDefault="003121EC" w:rsidP="00A0491A">
          <w:pPr>
            <w:pStyle w:val="NoSpacing"/>
            <w:rPr>
              <w:rFonts w:asciiTheme="minorHAnsi" w:hAnsiTheme="minorHAnsi" w:cstheme="minorHAnsi"/>
            </w:rPr>
          </w:pPr>
          <w:r w:rsidRPr="003121EC">
            <w:rPr>
              <w:rFonts w:asciiTheme="minorHAnsi" w:hAnsiTheme="minorHAnsi" w:cstheme="minorHAnsi"/>
            </w:rPr>
            <w:t xml:space="preserve">A Request </w:t>
          </w:r>
          <w:r w:rsidR="00DC0BDE" w:rsidRPr="003121EC">
            <w:rPr>
              <w:rFonts w:asciiTheme="minorHAnsi" w:hAnsiTheme="minorHAnsi" w:cstheme="minorHAnsi"/>
            </w:rPr>
            <w:t>for</w:t>
          </w:r>
          <w:r w:rsidRPr="003121EC">
            <w:rPr>
              <w:rFonts w:asciiTheme="minorHAnsi" w:hAnsiTheme="minorHAnsi" w:cstheme="minorHAnsi"/>
            </w:rPr>
            <w:t xml:space="preserve"> Bids was issued on </w:t>
          </w:r>
          <w:r>
            <w:rPr>
              <w:rFonts w:asciiTheme="minorHAnsi" w:hAnsiTheme="minorHAnsi" w:cstheme="minorHAnsi"/>
            </w:rPr>
            <w:t>February 17, 2023</w:t>
          </w:r>
          <w:r w:rsidR="00DC0BDE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3121EC">
            <w:rPr>
              <w:rFonts w:asciiTheme="minorHAnsi" w:hAnsiTheme="minorHAnsi" w:cstheme="minorHAnsi"/>
            </w:rPr>
            <w:t>for the District’s Gasoline and Diesel Fuel requirements.  The following vendors responded:</w:t>
          </w:r>
          <w:r w:rsidR="00213BE4">
            <w:rPr>
              <w:rFonts w:asciiTheme="minorHAnsi" w:hAnsiTheme="minorHAnsi" w:cstheme="minorHAnsi"/>
            </w:rPr>
            <w:fldChar w:fldCharType="begin"/>
          </w:r>
          <w:r w:rsidR="00213BE4">
            <w:rPr>
              <w:rFonts w:asciiTheme="minorHAnsi" w:hAnsiTheme="minorHAnsi" w:cstheme="minorHAnsi"/>
            </w:rPr>
            <w:instrText xml:space="preserve"> LINK </w:instrText>
          </w:r>
          <w:r w:rsidR="00A0491A">
            <w:rPr>
              <w:rFonts w:asciiTheme="minorHAnsi" w:hAnsiTheme="minorHAnsi" w:cstheme="minorHAnsi"/>
            </w:rPr>
            <w:instrText xml:space="preserve">Excel.Sheet.12 "\\\\E035DISTRICTFS1\\BCBE\\ABG_Shared\\Purchasing\\Transportation\\Gas &amp; Diesel\\Gas &amp; Diesel Renewal 2023\\Gas and Diesl Fuel Bidder response comparison.xlsx" Sheet1!R2C1:R7C6 </w:instrText>
          </w:r>
          <w:r w:rsidR="00213BE4">
            <w:rPr>
              <w:rFonts w:asciiTheme="minorHAnsi" w:hAnsiTheme="minorHAnsi" w:cstheme="minorHAnsi"/>
            </w:rPr>
            <w:instrText xml:space="preserve">\a \f 5 \h  \* MERGEFORMAT </w:instrText>
          </w:r>
          <w:r w:rsidR="00A0491A">
            <w:rPr>
              <w:rFonts w:asciiTheme="minorHAnsi" w:hAnsiTheme="minorHAnsi" w:cstheme="minorHAnsi"/>
            </w:rPr>
            <w:fldChar w:fldCharType="separate"/>
          </w:r>
        </w:p>
        <w:tbl>
          <w:tblPr>
            <w:tblStyle w:val="TableGrid"/>
            <w:tblW w:w="14362" w:type="dxa"/>
            <w:tblLook w:val="04A0" w:firstRow="1" w:lastRow="0" w:firstColumn="1" w:lastColumn="0" w:noHBand="0" w:noVBand="1"/>
          </w:tblPr>
          <w:tblGrid>
            <w:gridCol w:w="4405"/>
            <w:gridCol w:w="1620"/>
            <w:gridCol w:w="1440"/>
            <w:gridCol w:w="6453"/>
            <w:gridCol w:w="222"/>
            <w:gridCol w:w="222"/>
          </w:tblGrid>
          <w:tr w:rsidR="00A0491A" w:rsidRPr="00A0491A" w14:paraId="20A310FC" w14:textId="77777777" w:rsidTr="00A0491A">
            <w:trPr>
              <w:divId w:val="37517082"/>
              <w:trHeight w:val="350"/>
            </w:trPr>
            <w:tc>
              <w:tcPr>
                <w:tcW w:w="4405" w:type="dxa"/>
                <w:noWrap/>
                <w:hideMark/>
              </w:tcPr>
              <w:p w14:paraId="4DF711C8" w14:textId="12C66870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9957" w:type="dxa"/>
                <w:gridSpan w:val="5"/>
                <w:noWrap/>
                <w:hideMark/>
              </w:tcPr>
              <w:p w14:paraId="1A71F3CF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>BIDDERS</w:t>
                </w:r>
              </w:p>
            </w:tc>
          </w:tr>
          <w:tr w:rsidR="00A0491A" w:rsidRPr="00A0491A" w14:paraId="1E26E30A" w14:textId="77777777" w:rsidTr="00A0491A">
            <w:trPr>
              <w:divId w:val="37517082"/>
              <w:trHeight w:val="375"/>
            </w:trPr>
            <w:tc>
              <w:tcPr>
                <w:tcW w:w="4405" w:type="dxa"/>
                <w:noWrap/>
                <w:hideMark/>
              </w:tcPr>
              <w:p w14:paraId="2ACF63A6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>ITEM</w:t>
                </w:r>
              </w:p>
            </w:tc>
            <w:tc>
              <w:tcPr>
                <w:tcW w:w="1620" w:type="dxa"/>
                <w:noWrap/>
                <w:hideMark/>
              </w:tcPr>
              <w:p w14:paraId="712E9172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 xml:space="preserve">Mansfield Oil </w:t>
                </w:r>
              </w:p>
            </w:tc>
            <w:tc>
              <w:tcPr>
                <w:tcW w:w="1440" w:type="dxa"/>
                <w:noWrap/>
                <w:hideMark/>
              </w:tcPr>
              <w:p w14:paraId="228EC0D2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>Colonial Oil</w:t>
                </w:r>
              </w:p>
            </w:tc>
            <w:tc>
              <w:tcPr>
                <w:tcW w:w="6453" w:type="dxa"/>
                <w:noWrap/>
                <w:hideMark/>
              </w:tcPr>
              <w:p w14:paraId="5987FC3F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 xml:space="preserve">Petroleum Traders </w:t>
                </w:r>
              </w:p>
            </w:tc>
            <w:tc>
              <w:tcPr>
                <w:tcW w:w="222" w:type="dxa"/>
                <w:noWrap/>
                <w:hideMark/>
              </w:tcPr>
              <w:p w14:paraId="50E4F36C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</w:p>
            </w:tc>
            <w:tc>
              <w:tcPr>
                <w:tcW w:w="222" w:type="dxa"/>
                <w:noWrap/>
                <w:hideMark/>
              </w:tcPr>
              <w:p w14:paraId="7A5B5DB5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</w:tr>
          <w:tr w:rsidR="00A0491A" w:rsidRPr="00A0491A" w14:paraId="62B16772" w14:textId="77777777" w:rsidTr="00A0491A">
            <w:trPr>
              <w:divId w:val="37517082"/>
              <w:trHeight w:val="368"/>
            </w:trPr>
            <w:tc>
              <w:tcPr>
                <w:tcW w:w="4405" w:type="dxa"/>
                <w:noWrap/>
                <w:hideMark/>
              </w:tcPr>
              <w:p w14:paraId="54E0BAE4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>#2 Low Sulfur Diesel Fuel: Transport Load</w:t>
                </w:r>
              </w:p>
            </w:tc>
            <w:tc>
              <w:tcPr>
                <w:tcW w:w="1620" w:type="dxa"/>
                <w:noWrap/>
                <w:hideMark/>
              </w:tcPr>
              <w:p w14:paraId="4C6EA8E0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+0.0015</w:t>
                </w:r>
              </w:p>
            </w:tc>
            <w:tc>
              <w:tcPr>
                <w:tcW w:w="1440" w:type="dxa"/>
                <w:noWrap/>
                <w:hideMark/>
              </w:tcPr>
              <w:p w14:paraId="4C51705E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+0.1325</w:t>
                </w:r>
              </w:p>
            </w:tc>
            <w:tc>
              <w:tcPr>
                <w:tcW w:w="6453" w:type="dxa"/>
                <w:noWrap/>
                <w:hideMark/>
              </w:tcPr>
              <w:p w14:paraId="6B509B90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+0.0155</w:t>
                </w:r>
              </w:p>
            </w:tc>
            <w:tc>
              <w:tcPr>
                <w:tcW w:w="222" w:type="dxa"/>
                <w:noWrap/>
                <w:hideMark/>
              </w:tcPr>
              <w:p w14:paraId="0E6CE637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222" w:type="dxa"/>
                <w:noWrap/>
                <w:hideMark/>
              </w:tcPr>
              <w:p w14:paraId="02C88C0C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</w:tr>
          <w:tr w:rsidR="00A0491A" w:rsidRPr="00A0491A" w14:paraId="23F3AF52" w14:textId="77777777" w:rsidTr="00A0491A">
            <w:trPr>
              <w:divId w:val="37517082"/>
              <w:trHeight w:val="350"/>
            </w:trPr>
            <w:tc>
              <w:tcPr>
                <w:tcW w:w="4405" w:type="dxa"/>
                <w:noWrap/>
                <w:hideMark/>
              </w:tcPr>
              <w:p w14:paraId="4ADA7E5F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  <w:i/>
                    <w:i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  <w:i/>
                    <w:iCs/>
                  </w:rPr>
                  <w:t>Gasoline: Transport Load</w:t>
                </w:r>
              </w:p>
            </w:tc>
            <w:tc>
              <w:tcPr>
                <w:tcW w:w="1620" w:type="dxa"/>
                <w:noWrap/>
                <w:hideMark/>
              </w:tcPr>
              <w:p w14:paraId="3B2ED9F4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+0.0095</w:t>
                </w:r>
              </w:p>
            </w:tc>
            <w:tc>
              <w:tcPr>
                <w:tcW w:w="1440" w:type="dxa"/>
                <w:noWrap/>
                <w:hideMark/>
              </w:tcPr>
              <w:p w14:paraId="0F6C3E82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+0.0780</w:t>
                </w:r>
              </w:p>
            </w:tc>
            <w:tc>
              <w:tcPr>
                <w:tcW w:w="6453" w:type="dxa"/>
                <w:noWrap/>
                <w:hideMark/>
              </w:tcPr>
              <w:p w14:paraId="46A6C509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+0.0177</w:t>
                </w:r>
              </w:p>
            </w:tc>
            <w:tc>
              <w:tcPr>
                <w:tcW w:w="222" w:type="dxa"/>
                <w:noWrap/>
                <w:hideMark/>
              </w:tcPr>
              <w:p w14:paraId="06E1D2E0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222" w:type="dxa"/>
                <w:noWrap/>
                <w:hideMark/>
              </w:tcPr>
              <w:p w14:paraId="20637E5E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</w:tr>
          <w:tr w:rsidR="00A0491A" w:rsidRPr="00A0491A" w14:paraId="6D241000" w14:textId="77777777" w:rsidTr="00A0491A">
            <w:trPr>
              <w:divId w:val="37517082"/>
              <w:trHeight w:val="350"/>
            </w:trPr>
            <w:tc>
              <w:tcPr>
                <w:tcW w:w="4405" w:type="dxa"/>
                <w:noWrap/>
                <w:hideMark/>
              </w:tcPr>
              <w:p w14:paraId="5699A817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>Additional extra charge for short loads</w:t>
                </w:r>
              </w:p>
            </w:tc>
            <w:tc>
              <w:tcPr>
                <w:tcW w:w="1620" w:type="dxa"/>
                <w:noWrap/>
                <w:hideMark/>
              </w:tcPr>
              <w:p w14:paraId="5FD2693F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100.00</w:t>
                </w:r>
              </w:p>
            </w:tc>
            <w:tc>
              <w:tcPr>
                <w:tcW w:w="1440" w:type="dxa"/>
                <w:noWrap/>
                <w:hideMark/>
              </w:tcPr>
              <w:p w14:paraId="261C8F7F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n/a</w:t>
                </w:r>
              </w:p>
            </w:tc>
            <w:tc>
              <w:tcPr>
                <w:tcW w:w="6453" w:type="dxa"/>
                <w:noWrap/>
                <w:hideMark/>
              </w:tcPr>
              <w:p w14:paraId="30B9CD69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n/a</w:t>
                </w:r>
              </w:p>
            </w:tc>
            <w:tc>
              <w:tcPr>
                <w:tcW w:w="222" w:type="dxa"/>
                <w:noWrap/>
                <w:hideMark/>
              </w:tcPr>
              <w:p w14:paraId="6309F98D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222" w:type="dxa"/>
                <w:noWrap/>
                <w:hideMark/>
              </w:tcPr>
              <w:p w14:paraId="10B79036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</w:tr>
          <w:tr w:rsidR="00A0491A" w:rsidRPr="00A0491A" w14:paraId="01FF5B93" w14:textId="77777777" w:rsidTr="00A0491A">
            <w:trPr>
              <w:divId w:val="37517082"/>
              <w:trHeight w:val="260"/>
            </w:trPr>
            <w:tc>
              <w:tcPr>
                <w:tcW w:w="4405" w:type="dxa"/>
                <w:noWrap/>
                <w:hideMark/>
              </w:tcPr>
              <w:p w14:paraId="1B86CC89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</w:rPr>
                </w:pPr>
                <w:r w:rsidRPr="00A0491A">
                  <w:rPr>
                    <w:rFonts w:asciiTheme="minorHAnsi" w:hAnsiTheme="minorHAnsi" w:cstheme="minorHAnsi"/>
                    <w:b/>
                    <w:bCs/>
                  </w:rPr>
                  <w:t>Extra charge for pumping fuel into tank</w:t>
                </w:r>
              </w:p>
            </w:tc>
            <w:tc>
              <w:tcPr>
                <w:tcW w:w="1620" w:type="dxa"/>
                <w:noWrap/>
                <w:hideMark/>
              </w:tcPr>
              <w:p w14:paraId="1D61530D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75.00</w:t>
                </w:r>
              </w:p>
            </w:tc>
            <w:tc>
              <w:tcPr>
                <w:tcW w:w="1440" w:type="dxa"/>
                <w:noWrap/>
                <w:hideMark/>
              </w:tcPr>
              <w:p w14:paraId="39BBE4CD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50.00</w:t>
                </w:r>
              </w:p>
            </w:tc>
            <w:tc>
              <w:tcPr>
                <w:tcW w:w="6453" w:type="dxa"/>
                <w:noWrap/>
                <w:hideMark/>
              </w:tcPr>
              <w:p w14:paraId="78456675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A0491A">
                  <w:rPr>
                    <w:rFonts w:asciiTheme="minorHAnsi" w:hAnsiTheme="minorHAnsi" w:cstheme="minorHAnsi"/>
                  </w:rPr>
                  <w:t>n/a</w:t>
                </w:r>
              </w:p>
            </w:tc>
            <w:tc>
              <w:tcPr>
                <w:tcW w:w="222" w:type="dxa"/>
                <w:noWrap/>
                <w:hideMark/>
              </w:tcPr>
              <w:p w14:paraId="19789C7A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222" w:type="dxa"/>
                <w:noWrap/>
                <w:hideMark/>
              </w:tcPr>
              <w:p w14:paraId="4317C578" w14:textId="77777777" w:rsidR="00A0491A" w:rsidRPr="00A0491A" w:rsidRDefault="00A0491A" w:rsidP="00A0491A">
                <w:pPr>
                  <w:pStyle w:val="NoSpacing"/>
                  <w:rPr>
                    <w:rFonts w:asciiTheme="minorHAnsi" w:hAnsiTheme="minorHAnsi" w:cstheme="minorHAnsi"/>
                  </w:rPr>
                </w:pPr>
              </w:p>
            </w:tc>
          </w:tr>
        </w:tbl>
        <w:p w14:paraId="79965E23" w14:textId="0F870A8A" w:rsidR="00D072A8" w:rsidRPr="006F0552" w:rsidRDefault="00213BE4" w:rsidP="003121EC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fldChar w:fldCharType="end"/>
          </w:r>
          <w:r w:rsidR="003121EC" w:rsidRPr="003121EC">
            <w:t xml:space="preserve"> </w:t>
          </w:r>
          <w:r w:rsidR="003121EC" w:rsidRPr="003121EC">
            <w:rPr>
              <w:rFonts w:asciiTheme="minorHAnsi" w:hAnsiTheme="minorHAnsi" w:cstheme="minorHAnsi"/>
            </w:rPr>
            <w:t xml:space="preserve">The bids were opened by </w:t>
          </w:r>
          <w:proofErr w:type="gramStart"/>
          <w:r w:rsidR="003121EC" w:rsidRPr="003121EC">
            <w:rPr>
              <w:rFonts w:asciiTheme="minorHAnsi" w:hAnsiTheme="minorHAnsi" w:cstheme="minorHAnsi"/>
            </w:rPr>
            <w:t>myself</w:t>
          </w:r>
          <w:proofErr w:type="gramEnd"/>
          <w:r w:rsidR="003121EC" w:rsidRPr="003121EC">
            <w:rPr>
              <w:rFonts w:asciiTheme="minorHAnsi" w:hAnsiTheme="minorHAnsi" w:cstheme="minorHAnsi"/>
            </w:rPr>
            <w:t xml:space="preserve"> in the presence of Bob Barrix, Director</w:t>
          </w:r>
          <w:r w:rsidR="003121EC">
            <w:rPr>
              <w:rFonts w:asciiTheme="minorHAnsi" w:hAnsiTheme="minorHAnsi" w:cstheme="minorHAnsi"/>
            </w:rPr>
            <w:t xml:space="preserve"> of </w:t>
          </w:r>
          <w:r w:rsidR="003121EC" w:rsidRPr="003121EC">
            <w:rPr>
              <w:rFonts w:asciiTheme="minorHAnsi" w:hAnsiTheme="minorHAnsi" w:cstheme="minorHAnsi"/>
            </w:rPr>
            <w:t>Transportation</w:t>
          </w:r>
          <w:r w:rsidR="003121EC">
            <w:rPr>
              <w:rFonts w:asciiTheme="minorHAnsi" w:hAnsiTheme="minorHAnsi" w:cstheme="minorHAnsi"/>
            </w:rPr>
            <w:t>,</w:t>
          </w:r>
          <w:r w:rsidR="003121EC" w:rsidRPr="003121EC">
            <w:rPr>
              <w:rFonts w:asciiTheme="minorHAnsi" w:hAnsiTheme="minorHAnsi" w:cstheme="minorHAnsi"/>
            </w:rPr>
            <w:t xml:space="preserve"> </w:t>
          </w:r>
          <w:r w:rsidR="003121EC">
            <w:rPr>
              <w:rFonts w:asciiTheme="minorHAnsi" w:hAnsiTheme="minorHAnsi" w:cstheme="minorHAnsi"/>
            </w:rPr>
            <w:t>and Jennifer Ensley</w:t>
          </w:r>
          <w:r w:rsidR="003121EC" w:rsidRPr="003121EC">
            <w:rPr>
              <w:rFonts w:asciiTheme="minorHAnsi" w:hAnsiTheme="minorHAnsi" w:cstheme="minorHAnsi"/>
            </w:rPr>
            <w:t>. Mansfield Oil is recommended as the vendor based on their more competitive pricing. The new contract will be effective April 1, 202</w:t>
          </w:r>
          <w:r w:rsidR="003121EC">
            <w:rPr>
              <w:rFonts w:asciiTheme="minorHAnsi" w:hAnsiTheme="minorHAnsi" w:cstheme="minorHAnsi"/>
            </w:rPr>
            <w:t>3,</w:t>
          </w:r>
          <w:r w:rsidR="003121EC" w:rsidRPr="003121EC">
            <w:rPr>
              <w:rFonts w:asciiTheme="minorHAnsi" w:hAnsiTheme="minorHAnsi" w:cstheme="minorHAnsi"/>
            </w:rPr>
            <w:t xml:space="preserve"> for 1 year with the option to renew for an additional two years.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CC9F0DB" w:rsidR="00D072A8" w:rsidRPr="006F0552" w:rsidRDefault="00DC0BD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>Varies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F8A7A30" w:rsidR="00DE0B82" w:rsidRDefault="00234B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234B68">
            <w:rPr>
              <w:noProof/>
            </w:rPr>
            <w:drawing>
              <wp:inline distT="0" distB="0" distL="0" distR="0" wp14:anchorId="74833965" wp14:editId="674E035A">
                <wp:extent cx="6858000" cy="190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38381B1" w:rsidR="00D072A8" w:rsidRPr="008A2749" w:rsidRDefault="00DC0BDE" w:rsidP="00D072A8">
          <w:pPr>
            <w:pStyle w:val="NoSpacing"/>
            <w:rPr>
              <w:rFonts w:asciiTheme="minorHAnsi" w:hAnsiTheme="minorHAnsi" w:cstheme="minorHAnsi"/>
            </w:rPr>
          </w:pPr>
          <w:r w:rsidRPr="00DC0BDE">
            <w:t>I recommend awarding the Gasoline and Diesel Fuel contract to</w:t>
          </w:r>
          <w:r>
            <w:t xml:space="preserve"> Mansfield Oil</w:t>
          </w:r>
          <w:r w:rsidRPr="00DC0BDE"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CA3216C" w:rsidR="00D072A8" w:rsidRPr="00D072A8" w:rsidRDefault="00234B68" w:rsidP="00D072A8">
          <w:pPr>
            <w:pStyle w:val="NoSpacing"/>
            <w:rPr>
              <w:rFonts w:asciiTheme="minorHAnsi" w:hAnsiTheme="minorHAnsi" w:cstheme="minorHAnsi"/>
            </w:rPr>
          </w:pPr>
          <w:r w:rsidRPr="00234B68">
            <w:rPr>
              <w:noProof/>
            </w:rPr>
            <w:drawing>
              <wp:inline distT="0" distB="0" distL="0" distR="0" wp14:anchorId="5A274125" wp14:editId="280042A8">
                <wp:extent cx="6858000" cy="1905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072A8" w:rsidRPr="00D072A8" w:rsidSect="00C046D1">
      <w:headerReference w:type="first" r:id="rId10"/>
      <w:footerReference w:type="first" r:id="rId11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3BE4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1EC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491A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0BDE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3E03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2E41BB07FF444F981F0B03249F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F306-0DE1-4CCB-95D0-DC340956E158}"/>
      </w:docPartPr>
      <w:docPartBody>
        <w:p w:rsidR="00DA038C" w:rsidRDefault="007D6410" w:rsidP="007D6410">
          <w:pPr>
            <w:pStyle w:val="182E41BB07FF444F981F0B03249F06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3E15563EC48D18FF21A547B710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CC58E-DC42-4217-AA95-3BBD0FDEAED5}"/>
      </w:docPartPr>
      <w:docPartBody>
        <w:p w:rsidR="00DA038C" w:rsidRDefault="007D6410" w:rsidP="007D6410">
          <w:pPr>
            <w:pStyle w:val="D9A3E15563EC48D18FF21A547B710DE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7D6410"/>
    <w:rsid w:val="009509DE"/>
    <w:rsid w:val="00B32F66"/>
    <w:rsid w:val="00C77529"/>
    <w:rsid w:val="00DA038C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410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E41BB07FF444F981F0B03249F06D8">
    <w:name w:val="182E41BB07FF444F981F0B03249F06D8"/>
    <w:rsid w:val="007D6410"/>
  </w:style>
  <w:style w:type="paragraph" w:customStyle="1" w:styleId="D9A3E15563EC48D18FF21A547B710DEE">
    <w:name w:val="D9A3E15563EC48D18FF21A547B710DEE"/>
    <w:rsid w:val="007D6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1597</Characters>
  <Application>Microsoft Office Word</Application>
  <DocSecurity>0</DocSecurity>
  <Lines>319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2021-03-03T22:03:00Z</cp:lastPrinted>
  <dcterms:created xsi:type="dcterms:W3CDTF">2023-02-27T14:00:00Z</dcterms:created>
  <dcterms:modified xsi:type="dcterms:W3CDTF">2023-02-27T16:07:00Z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