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55235" w14:textId="77777777" w:rsidR="00BB7890" w:rsidRDefault="00BE5B76">
      <w:pPr>
        <w:jc w:val="center"/>
      </w:pPr>
      <w:bookmarkStart w:id="0" w:name="_GoBack"/>
      <w:bookmarkEnd w:id="0"/>
      <w:r>
        <w:t>Director of District Support Services</w:t>
      </w:r>
    </w:p>
    <w:p w14:paraId="4EEF680F" w14:textId="77777777" w:rsidR="00BB7890" w:rsidRDefault="00BE5B76">
      <w:pPr>
        <w:jc w:val="center"/>
      </w:pPr>
      <w:r>
        <w:t>Board Report - February 2023</w:t>
      </w:r>
    </w:p>
    <w:p w14:paraId="5177F91D" w14:textId="77777777" w:rsidR="00BB7890" w:rsidRDefault="00BE5B76">
      <w:pPr>
        <w:jc w:val="center"/>
      </w:pPr>
      <w:r>
        <w:t>Submitted by Katrina Rechtin</w:t>
      </w:r>
    </w:p>
    <w:p w14:paraId="029CBC6F" w14:textId="77777777" w:rsidR="00BB7890" w:rsidRDefault="00BB7890">
      <w:pPr>
        <w:jc w:val="center"/>
      </w:pPr>
    </w:p>
    <w:p w14:paraId="51F59B35" w14:textId="77777777" w:rsidR="00BB7890" w:rsidRDefault="00BE5B76">
      <w:r>
        <w:t>Director of Pupil Personnel</w:t>
      </w:r>
    </w:p>
    <w:p w14:paraId="56501287" w14:textId="77777777" w:rsidR="00BB7890" w:rsidRDefault="00BB789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B7890" w14:paraId="2D3DD606" w14:textId="77777777">
        <w:trPr>
          <w:trHeight w:val="420"/>
        </w:trPr>
        <w:tc>
          <w:tcPr>
            <w:tcW w:w="9360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A074" w14:textId="77777777" w:rsidR="00BB7890" w:rsidRDefault="00BE5B7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BISD 2020-21 Enrollment Information</w:t>
            </w:r>
          </w:p>
          <w:p w14:paraId="2F8F730F" w14:textId="77777777" w:rsidR="00BB7890" w:rsidRDefault="00BE5B7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(Numbers pulled from Infinite Campus on February 15, 2022)</w:t>
            </w:r>
          </w:p>
        </w:tc>
      </w:tr>
      <w:tr w:rsidR="00BB7890" w14:paraId="20C38145" w14:textId="77777777">
        <w:trPr>
          <w:trHeight w:val="420"/>
        </w:trPr>
        <w:tc>
          <w:tcPr>
            <w:tcW w:w="46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7A46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GES</w:t>
            </w:r>
          </w:p>
        </w:tc>
        <w:tc>
          <w:tcPr>
            <w:tcW w:w="46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9DF4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BMS/BHS</w:t>
            </w:r>
          </w:p>
        </w:tc>
      </w:tr>
      <w:tr w:rsidR="00BB7890" w14:paraId="7D3648B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2EF90" w14:textId="77777777" w:rsidR="00BB7890" w:rsidRDefault="00BE5B76">
            <w:pPr>
              <w:widowControl w:val="0"/>
              <w:spacing w:line="240" w:lineRule="auto"/>
            </w:pPr>
            <w:r>
              <w:t>Preschool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2355" w14:textId="77777777" w:rsidR="00BB7890" w:rsidRDefault="00BE5B76">
            <w:pPr>
              <w:widowControl w:val="0"/>
              <w:spacing w:line="240" w:lineRule="auto"/>
            </w:pPr>
            <w:r>
              <w:t>51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3A4F" w14:textId="77777777" w:rsidR="00BB7890" w:rsidRDefault="00BE5B76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6DF02" w14:textId="77777777" w:rsidR="00BB7890" w:rsidRDefault="00BE5B76">
            <w:pPr>
              <w:widowControl w:val="0"/>
              <w:spacing w:line="240" w:lineRule="auto"/>
            </w:pPr>
            <w:r>
              <w:t>30</w:t>
            </w:r>
          </w:p>
        </w:tc>
      </w:tr>
      <w:tr w:rsidR="00BB7890" w14:paraId="50AECCF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13BA0" w14:textId="77777777" w:rsidR="00BB7890" w:rsidRDefault="00BE5B76">
            <w:pPr>
              <w:widowControl w:val="0"/>
              <w:spacing w:line="240" w:lineRule="auto"/>
            </w:pPr>
            <w:r>
              <w:t>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2F2F" w14:textId="77777777" w:rsidR="00BB7890" w:rsidRDefault="00BE5B76">
            <w:pPr>
              <w:widowControl w:val="0"/>
              <w:spacing w:line="240" w:lineRule="auto"/>
            </w:pPr>
            <w:r>
              <w:t>33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3F18B" w14:textId="77777777" w:rsidR="00BB7890" w:rsidRDefault="00BE5B76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48AB" w14:textId="77777777" w:rsidR="00BB7890" w:rsidRDefault="00BE5B76">
            <w:pPr>
              <w:widowControl w:val="0"/>
              <w:spacing w:line="240" w:lineRule="auto"/>
            </w:pPr>
            <w:r>
              <w:t>43</w:t>
            </w:r>
          </w:p>
        </w:tc>
      </w:tr>
      <w:tr w:rsidR="00BB7890" w14:paraId="3517806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A21E1" w14:textId="77777777" w:rsidR="00BB7890" w:rsidRDefault="00BE5B76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A223" w14:textId="77777777" w:rsidR="00BB7890" w:rsidRDefault="00BE5B76">
            <w:pPr>
              <w:widowControl w:val="0"/>
              <w:spacing w:line="240" w:lineRule="auto"/>
            </w:pPr>
            <w:r>
              <w:t>46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2D3AF" w14:textId="77777777" w:rsidR="00BB7890" w:rsidRDefault="00BE5B76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FB88A" w14:textId="77777777" w:rsidR="00BB7890" w:rsidRDefault="00BE5B76">
            <w:pPr>
              <w:widowControl w:val="0"/>
              <w:spacing w:line="240" w:lineRule="auto"/>
            </w:pPr>
            <w:r>
              <w:t>45</w:t>
            </w:r>
          </w:p>
        </w:tc>
      </w:tr>
      <w:tr w:rsidR="00BB7890" w14:paraId="17AFD50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4D21" w14:textId="77777777" w:rsidR="00BB7890" w:rsidRDefault="00BE5B76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D709" w14:textId="77777777" w:rsidR="00BB7890" w:rsidRDefault="00BE5B76">
            <w:pPr>
              <w:widowControl w:val="0"/>
              <w:spacing w:line="240" w:lineRule="auto"/>
            </w:pPr>
            <w:r>
              <w:t>37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4B42" w14:textId="77777777" w:rsidR="00BB7890" w:rsidRDefault="00BE5B76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31EC2" w14:textId="77777777" w:rsidR="00BB7890" w:rsidRDefault="00BE5B76">
            <w:pPr>
              <w:widowControl w:val="0"/>
              <w:spacing w:line="240" w:lineRule="auto"/>
            </w:pPr>
            <w:r>
              <w:t>71</w:t>
            </w:r>
          </w:p>
        </w:tc>
      </w:tr>
      <w:tr w:rsidR="00BB7890" w14:paraId="1C048EA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BA71" w14:textId="77777777" w:rsidR="00BB7890" w:rsidRDefault="00BE5B76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C5F89" w14:textId="77777777" w:rsidR="00BB7890" w:rsidRDefault="00BE5B76">
            <w:pPr>
              <w:widowControl w:val="0"/>
              <w:spacing w:line="240" w:lineRule="auto"/>
            </w:pPr>
            <w:r>
              <w:t>33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9E67B" w14:textId="77777777" w:rsidR="00BB7890" w:rsidRDefault="00BE5B76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E31D" w14:textId="77777777" w:rsidR="00BB7890" w:rsidRDefault="00BE5B76">
            <w:pPr>
              <w:widowControl w:val="0"/>
              <w:spacing w:line="240" w:lineRule="auto"/>
            </w:pPr>
            <w:r>
              <w:t>62</w:t>
            </w:r>
          </w:p>
        </w:tc>
      </w:tr>
      <w:tr w:rsidR="00BB7890" w14:paraId="42B3F54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067B7" w14:textId="77777777" w:rsidR="00BB7890" w:rsidRDefault="00BE5B76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7BE48" w14:textId="77777777" w:rsidR="00BB7890" w:rsidRDefault="00BE5B76">
            <w:pPr>
              <w:widowControl w:val="0"/>
              <w:spacing w:line="240" w:lineRule="auto"/>
            </w:pPr>
            <w:r>
              <w:t>36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BB217" w14:textId="77777777" w:rsidR="00BB7890" w:rsidRDefault="00BE5B76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BDF57" w14:textId="77777777" w:rsidR="00BB7890" w:rsidRDefault="00BE5B76">
            <w:pPr>
              <w:widowControl w:val="0"/>
              <w:spacing w:line="240" w:lineRule="auto"/>
            </w:pPr>
            <w:r>
              <w:t>62</w:t>
            </w:r>
          </w:p>
        </w:tc>
      </w:tr>
      <w:tr w:rsidR="00BB7890" w14:paraId="545B7B5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59B8F" w14:textId="77777777" w:rsidR="00BB7890" w:rsidRDefault="00BE5B76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D6C9A" w14:textId="77777777" w:rsidR="00BB7890" w:rsidRDefault="00BE5B76">
            <w:pPr>
              <w:widowControl w:val="0"/>
              <w:spacing w:line="240" w:lineRule="auto"/>
            </w:pPr>
            <w:r>
              <w:t>42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3DDD" w14:textId="77777777" w:rsidR="00BB7890" w:rsidRDefault="00BE5B76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E331B" w14:textId="77777777" w:rsidR="00BB7890" w:rsidRDefault="00BE5B76">
            <w:pPr>
              <w:widowControl w:val="0"/>
              <w:spacing w:line="240" w:lineRule="auto"/>
            </w:pPr>
            <w:r>
              <w:t>46</w:t>
            </w:r>
          </w:p>
        </w:tc>
      </w:tr>
      <w:tr w:rsidR="00BB7890" w14:paraId="06E8AC5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754A1" w14:textId="77777777" w:rsidR="00BB7890" w:rsidRDefault="00BE5B76">
            <w:pPr>
              <w:widowControl w:val="0"/>
              <w:spacing w:line="240" w:lineRule="auto"/>
            </w:pPr>
            <w:r>
              <w:t xml:space="preserve">Total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67BC8" w14:textId="77777777" w:rsidR="00BB7890" w:rsidRDefault="00BE5B76">
            <w:pPr>
              <w:widowControl w:val="0"/>
              <w:spacing w:line="240" w:lineRule="auto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278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77296" w14:textId="77777777" w:rsidR="00BB7890" w:rsidRDefault="00BE5B76">
            <w:pPr>
              <w:widowControl w:val="0"/>
              <w:spacing w:line="240" w:lineRule="auto"/>
            </w:pPr>
            <w:r>
              <w:t>Total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B08B" w14:textId="77777777" w:rsidR="00BB7890" w:rsidRDefault="00BE5B76">
            <w:pPr>
              <w:widowControl w:val="0"/>
              <w:spacing w:line="240" w:lineRule="auto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359</w:t>
            </w:r>
          </w:p>
        </w:tc>
      </w:tr>
    </w:tbl>
    <w:p w14:paraId="2728A2BB" w14:textId="77777777" w:rsidR="00BB7890" w:rsidRDefault="00BE5B76">
      <w:pPr>
        <w:jc w:val="center"/>
        <w:rPr>
          <w:shd w:val="clear" w:color="auto" w:fill="FFD966"/>
        </w:rPr>
      </w:pPr>
      <w:r>
        <w:rPr>
          <w:shd w:val="clear" w:color="auto" w:fill="FFD966"/>
        </w:rPr>
        <w:t>BISD Total Enrollment Preschool - 12th Grade: 637</w:t>
      </w:r>
    </w:p>
    <w:p w14:paraId="5CF7B5F3" w14:textId="77777777" w:rsidR="00BB7890" w:rsidRDefault="00BB7890">
      <w:pPr>
        <w:jc w:val="center"/>
        <w:rPr>
          <w:shd w:val="clear" w:color="auto" w:fill="FFD966"/>
        </w:rPr>
      </w:pPr>
    </w:p>
    <w:p w14:paraId="260C1933" w14:textId="77777777" w:rsidR="00BB7890" w:rsidRDefault="00BE5B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2022-23 BISD Enrollment Summary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B7890" w14:paraId="4DB0C4B4" w14:textId="77777777"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7EE9" w14:textId="77777777" w:rsidR="00BB7890" w:rsidRDefault="00BE5B7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49220" w14:textId="77777777" w:rsidR="00BB7890" w:rsidRDefault="00BE5B7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Grandview Elementary</w:t>
            </w: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6BB88" w14:textId="77777777" w:rsidR="00BB7890" w:rsidRDefault="00BE5B7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Bellevue High School </w:t>
            </w: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50514" w14:textId="77777777" w:rsidR="00BB7890" w:rsidRDefault="00BE5B7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District </w:t>
            </w:r>
          </w:p>
        </w:tc>
      </w:tr>
      <w:tr w:rsidR="00BB7890" w14:paraId="733FBA8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11B9" w14:textId="77777777" w:rsidR="00BB7890" w:rsidRDefault="00BE5B76">
            <w:pPr>
              <w:widowControl w:val="0"/>
              <w:spacing w:line="240" w:lineRule="auto"/>
            </w:pPr>
            <w:r>
              <w:t xml:space="preserve">August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FA201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270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6B1E4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351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5424" w14:textId="77777777" w:rsidR="00BB7890" w:rsidRDefault="00BE5B7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621</w:t>
            </w:r>
          </w:p>
        </w:tc>
      </w:tr>
      <w:tr w:rsidR="00BB7890" w14:paraId="5163C15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9186" w14:textId="77777777" w:rsidR="00BB7890" w:rsidRDefault="00BE5B76">
            <w:pPr>
              <w:widowControl w:val="0"/>
              <w:spacing w:line="240" w:lineRule="auto"/>
            </w:pPr>
            <w:r>
              <w:t>September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2C2C8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275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74B4C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362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077E1" w14:textId="77777777" w:rsidR="00BB7890" w:rsidRDefault="00BE5B7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637</w:t>
            </w:r>
          </w:p>
        </w:tc>
      </w:tr>
      <w:tr w:rsidR="00BB7890" w14:paraId="23F03FF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CEED5" w14:textId="77777777" w:rsidR="00BB7890" w:rsidRDefault="00BE5B76">
            <w:pPr>
              <w:widowControl w:val="0"/>
              <w:spacing w:line="240" w:lineRule="auto"/>
            </w:pPr>
            <w:r>
              <w:t>October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3657A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277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8DC28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362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8E0D" w14:textId="77777777" w:rsidR="00BB7890" w:rsidRDefault="00BE5B7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639</w:t>
            </w:r>
          </w:p>
        </w:tc>
      </w:tr>
      <w:tr w:rsidR="00BB7890" w14:paraId="109C358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FBBB" w14:textId="77777777" w:rsidR="00BB7890" w:rsidRDefault="00BE5B76">
            <w:pPr>
              <w:widowControl w:val="0"/>
              <w:spacing w:line="240" w:lineRule="auto"/>
            </w:pPr>
            <w:r>
              <w:t>November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2673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275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6EABC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358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09C9" w14:textId="77777777" w:rsidR="00BB7890" w:rsidRDefault="00BE5B7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633</w:t>
            </w:r>
          </w:p>
        </w:tc>
      </w:tr>
      <w:tr w:rsidR="00BB7890" w14:paraId="7E9FC70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EE0F3" w14:textId="77777777" w:rsidR="00BB7890" w:rsidRDefault="00BE5B76">
            <w:pPr>
              <w:widowControl w:val="0"/>
              <w:spacing w:line="240" w:lineRule="auto"/>
            </w:pPr>
            <w:r>
              <w:t>December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8A0BE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278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B8A65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359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8F158" w14:textId="77777777" w:rsidR="00BB7890" w:rsidRDefault="00BE5B7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637</w:t>
            </w:r>
          </w:p>
        </w:tc>
      </w:tr>
      <w:tr w:rsidR="00BB7890" w14:paraId="04BA0DF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81A9" w14:textId="77777777" w:rsidR="00BB7890" w:rsidRDefault="00BE5B76">
            <w:pPr>
              <w:widowControl w:val="0"/>
              <w:spacing w:line="240" w:lineRule="auto"/>
            </w:pPr>
            <w:r>
              <w:t>January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09F0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280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CF1FD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359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C3A6B" w14:textId="77777777" w:rsidR="00BB7890" w:rsidRDefault="00BE5B7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639</w:t>
            </w:r>
          </w:p>
        </w:tc>
      </w:tr>
      <w:tr w:rsidR="00BB7890" w14:paraId="021810C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67034" w14:textId="77777777" w:rsidR="00BB7890" w:rsidRDefault="00BE5B76">
            <w:pPr>
              <w:widowControl w:val="0"/>
              <w:spacing w:line="240" w:lineRule="auto"/>
            </w:pPr>
            <w:r>
              <w:t>February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72EE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278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4C7A3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359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9461" w14:textId="77777777" w:rsidR="00BB7890" w:rsidRDefault="00BE5B7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637</w:t>
            </w:r>
          </w:p>
        </w:tc>
      </w:tr>
    </w:tbl>
    <w:p w14:paraId="70476279" w14:textId="77777777" w:rsidR="00BB7890" w:rsidRDefault="00BB7890"/>
    <w:p w14:paraId="7D99BC29" w14:textId="77777777" w:rsidR="00BB7890" w:rsidRDefault="00BB7890">
      <w:pPr>
        <w:jc w:val="center"/>
        <w:rPr>
          <w:shd w:val="clear" w:color="auto" w:fill="FFD966"/>
        </w:rPr>
      </w:pPr>
    </w:p>
    <w:p w14:paraId="0DD45993" w14:textId="77777777" w:rsidR="00BB7890" w:rsidRDefault="00BB7890">
      <w:pPr>
        <w:jc w:val="center"/>
        <w:rPr>
          <w:shd w:val="clear" w:color="auto" w:fill="FFD966"/>
        </w:rPr>
      </w:pPr>
    </w:p>
    <w:p w14:paraId="267D0670" w14:textId="77777777" w:rsidR="00BB7890" w:rsidRDefault="00BB7890">
      <w:pPr>
        <w:rPr>
          <w:shd w:val="clear" w:color="auto" w:fill="FFD966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B7890" w14:paraId="59F6034F" w14:textId="77777777">
        <w:trPr>
          <w:trHeight w:val="420"/>
        </w:trPr>
        <w:tc>
          <w:tcPr>
            <w:tcW w:w="9360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CCCB5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 xml:space="preserve">BISD Attendance </w:t>
            </w:r>
          </w:p>
        </w:tc>
      </w:tr>
      <w:tr w:rsidR="00BB7890" w14:paraId="029ED1C3" w14:textId="77777777"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9D972" w14:textId="77777777" w:rsidR="00BB7890" w:rsidRDefault="00BB7890">
            <w:pPr>
              <w:widowControl w:val="0"/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CBE6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GES</w:t>
            </w: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5F619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BMS/BHS</w:t>
            </w:r>
          </w:p>
        </w:tc>
      </w:tr>
      <w:tr w:rsidR="00BB7890" w14:paraId="58C60AB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CD8E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August (8/17-8/31)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7E67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95.75%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920A4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94.63%</w:t>
            </w:r>
          </w:p>
        </w:tc>
      </w:tr>
      <w:tr w:rsidR="00BB7890" w14:paraId="45AD06C5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1833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September (9/1 - 9/30)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B30D2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95.24%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CF63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91.94%</w:t>
            </w:r>
          </w:p>
        </w:tc>
      </w:tr>
      <w:tr w:rsidR="00BB7890" w14:paraId="100E2C00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8C6F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October (10/1 - 10/31)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4223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94.78%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FAF4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92.84%</w:t>
            </w:r>
          </w:p>
        </w:tc>
      </w:tr>
      <w:tr w:rsidR="00BB7890" w14:paraId="18F016F0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A8D0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November (11/1 - 11/30)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AD881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92.95%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09566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89.80%</w:t>
            </w:r>
          </w:p>
        </w:tc>
      </w:tr>
      <w:tr w:rsidR="00BB7890" w14:paraId="05F41A43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CC775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December (12/1-12/31)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CBE46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90.84%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C7D69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88.95%</w:t>
            </w:r>
          </w:p>
        </w:tc>
      </w:tr>
      <w:tr w:rsidR="00BB7890" w14:paraId="159D7474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2C39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January (1/1 - 1/31)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D3CCF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93.02%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8A39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91.26%</w:t>
            </w:r>
          </w:p>
        </w:tc>
      </w:tr>
      <w:tr w:rsidR="00BB7890" w14:paraId="1DD4DF73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949C3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February (2/1 - 2/15)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A834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92.24%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49354" w14:textId="77777777" w:rsidR="00BB7890" w:rsidRDefault="00BE5B76">
            <w:pPr>
              <w:widowControl w:val="0"/>
              <w:spacing w:line="240" w:lineRule="auto"/>
              <w:jc w:val="center"/>
            </w:pPr>
            <w:r>
              <w:t>90.71%</w:t>
            </w:r>
          </w:p>
        </w:tc>
      </w:tr>
      <w:tr w:rsidR="00BB7890" w14:paraId="0DC4E90C" w14:textId="77777777">
        <w:trPr>
          <w:trHeight w:val="11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01D7" w14:textId="77777777" w:rsidR="00BB7890" w:rsidRDefault="00BE5B76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FFD966"/>
              </w:rPr>
            </w:pPr>
            <w:r>
              <w:rPr>
                <w:sz w:val="20"/>
                <w:szCs w:val="20"/>
                <w:shd w:val="clear" w:color="auto" w:fill="FFD966"/>
              </w:rPr>
              <w:t xml:space="preserve">August 17th - February 15th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5E62" w14:textId="77777777" w:rsidR="00BB7890" w:rsidRDefault="00BE5B76">
            <w:pPr>
              <w:widowControl w:val="0"/>
              <w:spacing w:line="240" w:lineRule="auto"/>
              <w:jc w:val="center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93.22%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DC82B" w14:textId="77777777" w:rsidR="00BB7890" w:rsidRDefault="00BE5B76">
            <w:pPr>
              <w:widowControl w:val="0"/>
              <w:spacing w:line="240" w:lineRule="auto"/>
              <w:jc w:val="center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91.54%</w:t>
            </w:r>
          </w:p>
        </w:tc>
      </w:tr>
      <w:tr w:rsidR="00BB7890" w14:paraId="200453B9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3984" w14:textId="77777777" w:rsidR="00BB7890" w:rsidRDefault="00BE5B76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FFD966"/>
              </w:rPr>
            </w:pPr>
            <w:r>
              <w:rPr>
                <w:sz w:val="20"/>
                <w:szCs w:val="20"/>
                <w:shd w:val="clear" w:color="auto" w:fill="FFD966"/>
              </w:rPr>
              <w:t>District Attendance Percentage - August 17, 2022 - February 15th, 2023 - 92.28%</w:t>
            </w:r>
          </w:p>
        </w:tc>
      </w:tr>
    </w:tbl>
    <w:p w14:paraId="610CA0B8" w14:textId="77777777" w:rsidR="00BB7890" w:rsidRDefault="00BB7890">
      <w:pPr>
        <w:spacing w:before="240" w:after="240"/>
      </w:pPr>
    </w:p>
    <w:p w14:paraId="3C7E9BBE" w14:textId="77777777" w:rsidR="00BB7890" w:rsidRDefault="00BE5B76">
      <w:pPr>
        <w:numPr>
          <w:ilvl w:val="0"/>
          <w:numId w:val="4"/>
        </w:numPr>
        <w:spacing w:before="240"/>
      </w:pPr>
      <w:r>
        <w:t xml:space="preserve">We had our attendance audit with KDE.  Overall, it went really well. There are a few areas that we need to adjust.  We are working on those adjustments now and plan for a KDE visit again in the spring.  </w:t>
      </w:r>
    </w:p>
    <w:p w14:paraId="6029AD40" w14:textId="77777777" w:rsidR="00BB7890" w:rsidRDefault="00BE5B76">
      <w:pPr>
        <w:numPr>
          <w:ilvl w:val="0"/>
          <w:numId w:val="4"/>
        </w:numPr>
      </w:pPr>
      <w:r>
        <w:t xml:space="preserve">The code of conduct committee will start meeting in </w:t>
      </w:r>
      <w:r>
        <w:t>March.  We will review the current code of conduct we have in place and discuss possible updates and changes that are needed.</w:t>
      </w:r>
    </w:p>
    <w:p w14:paraId="39E8594D" w14:textId="77777777" w:rsidR="00BB7890" w:rsidRDefault="00BE5B76">
      <w:pPr>
        <w:numPr>
          <w:ilvl w:val="0"/>
          <w:numId w:val="4"/>
        </w:numPr>
      </w:pPr>
      <w:r>
        <w:t>Our non-resident enrollment procedure has been finalized and shared on social media.  Current non-resident students have until the</w:t>
      </w:r>
      <w:r>
        <w:t xml:space="preserve"> end of February to submit their application and students not currently enrolled in BISD have until the end of March to submit their non-resident application.  We will open non-resident enrollment again during the summer for the grade levels that have not </w:t>
      </w:r>
      <w:r>
        <w:t xml:space="preserve">reached capacity.  </w:t>
      </w:r>
    </w:p>
    <w:p w14:paraId="21B6ABC7" w14:textId="77777777" w:rsidR="00BB7890" w:rsidRDefault="00BE5B76">
      <w:pPr>
        <w:numPr>
          <w:ilvl w:val="0"/>
          <w:numId w:val="4"/>
        </w:numPr>
        <w:spacing w:after="240"/>
      </w:pPr>
      <w:r>
        <w:t xml:space="preserve">Kindergarten registration will be held on March 23rd.  We will have a day and evening option like last year.  We are looking forward to meeting our future tigers.   </w:t>
      </w:r>
    </w:p>
    <w:p w14:paraId="77E8ABBC" w14:textId="77777777" w:rsidR="00BB7890" w:rsidRDefault="00BE5B76">
      <w:r>
        <w:t xml:space="preserve">District Assessment Coordinator </w:t>
      </w:r>
    </w:p>
    <w:p w14:paraId="34113F36" w14:textId="77777777" w:rsidR="00BB7890" w:rsidRDefault="00BE5B76">
      <w:pPr>
        <w:numPr>
          <w:ilvl w:val="0"/>
          <w:numId w:val="2"/>
        </w:numPr>
      </w:pPr>
      <w:r>
        <w:t xml:space="preserve">FALL/Winter MAP data can be accessed </w:t>
      </w:r>
      <w:hyperlink r:id="rId8">
        <w:r>
          <w:rPr>
            <w:color w:val="1155CC"/>
            <w:u w:val="single"/>
          </w:rPr>
          <w:t>HERE</w:t>
        </w:r>
      </w:hyperlink>
    </w:p>
    <w:p w14:paraId="14B2D476" w14:textId="77777777" w:rsidR="00BB7890" w:rsidRDefault="00BE5B76">
      <w:pPr>
        <w:numPr>
          <w:ilvl w:val="0"/>
          <w:numId w:val="2"/>
        </w:numPr>
      </w:pPr>
      <w:r>
        <w:t xml:space="preserve">The district assessment calendar can be accessed </w:t>
      </w:r>
      <w:hyperlink r:id="rId9">
        <w:r>
          <w:rPr>
            <w:color w:val="1155CC"/>
            <w:u w:val="single"/>
          </w:rPr>
          <w:t>HERE</w:t>
        </w:r>
      </w:hyperlink>
      <w:r>
        <w:t>.</w:t>
      </w:r>
    </w:p>
    <w:p w14:paraId="2B8D5E2D" w14:textId="77777777" w:rsidR="00BB7890" w:rsidRDefault="00BE5B76">
      <w:pPr>
        <w:numPr>
          <w:ilvl w:val="0"/>
          <w:numId w:val="2"/>
        </w:numPr>
        <w:rPr>
          <w:sz w:val="20"/>
          <w:szCs w:val="20"/>
        </w:rPr>
      </w:pPr>
      <w:r>
        <w:t xml:space="preserve">KSA data can be found on the School Report Card </w:t>
      </w:r>
      <w:hyperlink r:id="rId10">
        <w:r>
          <w:rPr>
            <w:color w:val="1155CC"/>
            <w:u w:val="single"/>
          </w:rPr>
          <w:t>WEBSITE</w:t>
        </w:r>
      </w:hyperlink>
      <w:r>
        <w:t xml:space="preserve"> </w:t>
      </w:r>
    </w:p>
    <w:p w14:paraId="6962BDBC" w14:textId="77777777" w:rsidR="00BB7890" w:rsidRDefault="00BE5B76">
      <w:pPr>
        <w:numPr>
          <w:ilvl w:val="0"/>
          <w:numId w:val="3"/>
        </w:numPr>
      </w:pPr>
      <w:r>
        <w:lastRenderedPageBreak/>
        <w:t xml:space="preserve">ACCESS testing is wrapping up.  A huge thanks to our building assessment coordinators, Sara Teegarden and Heather McDougall.  They worked alongside our NKCES EL consultant to ensure our students were set up for success. </w:t>
      </w:r>
    </w:p>
    <w:p w14:paraId="0C15C9E4" w14:textId="77777777" w:rsidR="00BB7890" w:rsidRDefault="00BB7890"/>
    <w:p w14:paraId="3AEED538" w14:textId="77777777" w:rsidR="00BB7890" w:rsidRDefault="00BB7890"/>
    <w:p w14:paraId="77769151" w14:textId="77777777" w:rsidR="00BB7890" w:rsidRDefault="00BB7890"/>
    <w:p w14:paraId="1AB1D7AD" w14:textId="77777777" w:rsidR="00BB7890" w:rsidRDefault="00BE5B76">
      <w:r>
        <w:t>Gifted and Talented</w:t>
      </w:r>
    </w:p>
    <w:p w14:paraId="33ABB614" w14:textId="77777777" w:rsidR="00BB7890" w:rsidRDefault="00BE5B76">
      <w:pPr>
        <w:numPr>
          <w:ilvl w:val="0"/>
          <w:numId w:val="1"/>
        </w:numPr>
      </w:pPr>
      <w:r>
        <w:t>Please see t</w:t>
      </w:r>
      <w:r>
        <w:t xml:space="preserve">he attached report from Tracey Elrod, our Gifted and Talented teacher </w:t>
      </w:r>
      <w:hyperlink r:id="rId11">
        <w:r>
          <w:rPr>
            <w:color w:val="1155CC"/>
            <w:u w:val="single"/>
          </w:rPr>
          <w:t xml:space="preserve">HERE. </w:t>
        </w:r>
      </w:hyperlink>
    </w:p>
    <w:sectPr w:rsidR="00BB78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521E1"/>
    <w:multiLevelType w:val="multilevel"/>
    <w:tmpl w:val="F684D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A72176"/>
    <w:multiLevelType w:val="multilevel"/>
    <w:tmpl w:val="E1AAE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E810C9"/>
    <w:multiLevelType w:val="multilevel"/>
    <w:tmpl w:val="470C26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E47C5A"/>
    <w:multiLevelType w:val="multilevel"/>
    <w:tmpl w:val="BD2E3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90"/>
    <w:rsid w:val="00BB7890"/>
    <w:rsid w:val="00B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CE07"/>
  <w15:docId w15:val="{52FAE347-7CC9-4F11-86AF-2569AE9B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N8dFj55mtEdX-Y8E8V1kqS2Kh8Y5CAZGzWqpvleK-e0/edit?usp=sharin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document/d/18mhBXq0pI1veWokMibtTQs85agLv5rnIBgAbLDxrXFA/edit?usp=sharin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yschoolreportcard.com/organization/5512?year=202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8dfIGoyB3f3pPYjg3tObFMkctXGQ2yc_hr8Mrs46d3o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DB5F9-AF14-4FF1-9D71-583021019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2B446C-222C-4A61-BCEB-66569BA7C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0EAF7-4A8C-4544-8D8B-CD753EFFE492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ba9d881-5f3a-40f9-a9a7-00e960d0e466"/>
    <ds:schemaRef ds:uri="94627f6b-45aa-4f11-bbeb-ed3626982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2023-02-16T17:42:00Z</cp:lastPrinted>
  <dcterms:created xsi:type="dcterms:W3CDTF">2023-02-16T17:43:00Z</dcterms:created>
  <dcterms:modified xsi:type="dcterms:W3CDTF">2023-02-16T17:43:00Z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