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28D72" w14:textId="77777777" w:rsidR="00450427" w:rsidRDefault="00D9551C">
      <w:pPr>
        <w:jc w:val="center"/>
      </w:pPr>
      <w:bookmarkStart w:id="0" w:name="_GoBack"/>
      <w:bookmarkEnd w:id="0"/>
      <w:r>
        <w:t>Director of District Support Services</w:t>
      </w:r>
    </w:p>
    <w:p w14:paraId="5B59160B" w14:textId="77777777" w:rsidR="00450427" w:rsidRDefault="00D9551C">
      <w:pPr>
        <w:jc w:val="center"/>
      </w:pPr>
      <w:r>
        <w:t>Board Report - December 2022</w:t>
      </w:r>
    </w:p>
    <w:p w14:paraId="03AF96B7" w14:textId="77777777" w:rsidR="00450427" w:rsidRDefault="00D9551C">
      <w:pPr>
        <w:jc w:val="center"/>
      </w:pPr>
      <w:r>
        <w:t>Submitted by Katrina Rechtin</w:t>
      </w:r>
    </w:p>
    <w:p w14:paraId="0235A17B" w14:textId="77777777" w:rsidR="00450427" w:rsidRDefault="00450427">
      <w:pPr>
        <w:jc w:val="center"/>
      </w:pPr>
    </w:p>
    <w:p w14:paraId="5E80AB99" w14:textId="77777777" w:rsidR="00450427" w:rsidRDefault="00D9551C">
      <w:r>
        <w:t>Director of Pupil Personnel</w:t>
      </w:r>
    </w:p>
    <w:p w14:paraId="0943E41B" w14:textId="77777777" w:rsidR="00450427" w:rsidRDefault="00450427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450427" w14:paraId="63BC61DB" w14:textId="77777777">
        <w:trPr>
          <w:trHeight w:val="420"/>
        </w:trPr>
        <w:tc>
          <w:tcPr>
            <w:tcW w:w="9360" w:type="dxa"/>
            <w:gridSpan w:val="4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289EC" w14:textId="77777777" w:rsidR="00450427" w:rsidRDefault="00D9551C">
            <w:pPr>
              <w:widowControl w:val="0"/>
              <w:spacing w:line="240" w:lineRule="auto"/>
              <w:jc w:val="center"/>
            </w:pPr>
            <w:r>
              <w:t>BISD 2020-21 Enrollment Information</w:t>
            </w:r>
          </w:p>
          <w:p w14:paraId="6CC1D95B" w14:textId="77777777" w:rsidR="00450427" w:rsidRDefault="00D9551C">
            <w:pPr>
              <w:widowControl w:val="0"/>
              <w:spacing w:line="240" w:lineRule="auto"/>
              <w:jc w:val="center"/>
            </w:pPr>
            <w:r>
              <w:t>(Numbers pulled from Infinite Campus on December 7, 2022)</w:t>
            </w:r>
          </w:p>
        </w:tc>
      </w:tr>
      <w:tr w:rsidR="00450427" w14:paraId="6FE74047" w14:textId="77777777">
        <w:trPr>
          <w:trHeight w:val="420"/>
        </w:trPr>
        <w:tc>
          <w:tcPr>
            <w:tcW w:w="4680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2FAAE" w14:textId="77777777" w:rsidR="00450427" w:rsidRDefault="00D9551C">
            <w:pPr>
              <w:widowControl w:val="0"/>
              <w:spacing w:line="240" w:lineRule="auto"/>
              <w:jc w:val="center"/>
            </w:pPr>
            <w:r>
              <w:t>GES</w:t>
            </w:r>
          </w:p>
        </w:tc>
        <w:tc>
          <w:tcPr>
            <w:tcW w:w="4680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7C32D" w14:textId="77777777" w:rsidR="00450427" w:rsidRDefault="00D9551C">
            <w:pPr>
              <w:widowControl w:val="0"/>
              <w:spacing w:line="240" w:lineRule="auto"/>
              <w:jc w:val="center"/>
            </w:pPr>
            <w:r>
              <w:t>BMS/BHS</w:t>
            </w:r>
          </w:p>
        </w:tc>
      </w:tr>
      <w:tr w:rsidR="00450427" w14:paraId="24D58903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9E712" w14:textId="77777777" w:rsidR="00450427" w:rsidRDefault="00D9551C">
            <w:pPr>
              <w:widowControl w:val="0"/>
              <w:spacing w:line="240" w:lineRule="auto"/>
            </w:pPr>
            <w:r>
              <w:t>Preschool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25A01" w14:textId="77777777" w:rsidR="00450427" w:rsidRDefault="00D9551C">
            <w:pPr>
              <w:widowControl w:val="0"/>
              <w:spacing w:line="240" w:lineRule="auto"/>
            </w:pPr>
            <w:r>
              <w:t>52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3C89C" w14:textId="77777777" w:rsidR="00450427" w:rsidRDefault="00D9551C">
            <w:pPr>
              <w:widowControl w:val="0"/>
              <w:spacing w:line="240" w:lineRule="auto"/>
            </w:pPr>
            <w:r>
              <w:t>6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3BFE4" w14:textId="77777777" w:rsidR="00450427" w:rsidRDefault="00D9551C">
            <w:pPr>
              <w:widowControl w:val="0"/>
              <w:spacing w:line="240" w:lineRule="auto"/>
            </w:pPr>
            <w:r>
              <w:t>30</w:t>
            </w:r>
          </w:p>
        </w:tc>
      </w:tr>
      <w:tr w:rsidR="00450427" w14:paraId="6A0ACFAD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6033F" w14:textId="77777777" w:rsidR="00450427" w:rsidRDefault="00D9551C">
            <w:pPr>
              <w:widowControl w:val="0"/>
              <w:spacing w:line="240" w:lineRule="auto"/>
            </w:pPr>
            <w:r>
              <w:t>K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7427B" w14:textId="77777777" w:rsidR="00450427" w:rsidRDefault="00D9551C">
            <w:pPr>
              <w:widowControl w:val="0"/>
              <w:spacing w:line="240" w:lineRule="auto"/>
            </w:pPr>
            <w:r>
              <w:t>33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E442B" w14:textId="77777777" w:rsidR="00450427" w:rsidRDefault="00D9551C">
            <w:pPr>
              <w:widowControl w:val="0"/>
              <w:spacing w:line="240" w:lineRule="auto"/>
            </w:pPr>
            <w:r>
              <w:t>7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A1D81" w14:textId="77777777" w:rsidR="00450427" w:rsidRDefault="00D9551C">
            <w:pPr>
              <w:widowControl w:val="0"/>
              <w:spacing w:line="240" w:lineRule="auto"/>
            </w:pPr>
            <w:r>
              <w:t>42</w:t>
            </w:r>
          </w:p>
        </w:tc>
      </w:tr>
      <w:tr w:rsidR="00450427" w14:paraId="785BD8B4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E1CAE" w14:textId="77777777" w:rsidR="00450427" w:rsidRDefault="00D9551C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F0A36" w14:textId="77777777" w:rsidR="00450427" w:rsidRDefault="00D9551C">
            <w:pPr>
              <w:widowControl w:val="0"/>
              <w:spacing w:line="240" w:lineRule="auto"/>
            </w:pPr>
            <w:r>
              <w:t>47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7B300" w14:textId="77777777" w:rsidR="00450427" w:rsidRDefault="00D9551C">
            <w:pPr>
              <w:widowControl w:val="0"/>
              <w:spacing w:line="240" w:lineRule="auto"/>
            </w:pPr>
            <w:r>
              <w:t>8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AEABA" w14:textId="77777777" w:rsidR="00450427" w:rsidRDefault="00D9551C">
            <w:pPr>
              <w:widowControl w:val="0"/>
              <w:spacing w:line="240" w:lineRule="auto"/>
            </w:pPr>
            <w:r>
              <w:t>45</w:t>
            </w:r>
          </w:p>
        </w:tc>
      </w:tr>
      <w:tr w:rsidR="00450427" w14:paraId="454C2A76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56A66" w14:textId="77777777" w:rsidR="00450427" w:rsidRDefault="00D9551C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FB261" w14:textId="77777777" w:rsidR="00450427" w:rsidRDefault="00D9551C">
            <w:pPr>
              <w:widowControl w:val="0"/>
              <w:spacing w:line="240" w:lineRule="auto"/>
            </w:pPr>
            <w:r>
              <w:t>37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B1FA9" w14:textId="77777777" w:rsidR="00450427" w:rsidRDefault="00D9551C">
            <w:pPr>
              <w:widowControl w:val="0"/>
              <w:spacing w:line="240" w:lineRule="auto"/>
            </w:pPr>
            <w:r>
              <w:t>9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A69DD" w14:textId="77777777" w:rsidR="00450427" w:rsidRDefault="00D9551C">
            <w:pPr>
              <w:widowControl w:val="0"/>
              <w:spacing w:line="240" w:lineRule="auto"/>
            </w:pPr>
            <w:r>
              <w:t>69</w:t>
            </w:r>
          </w:p>
        </w:tc>
      </w:tr>
      <w:tr w:rsidR="00450427" w14:paraId="2D16B0CB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5CF48" w14:textId="77777777" w:rsidR="00450427" w:rsidRDefault="00D9551C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DAB89" w14:textId="77777777" w:rsidR="00450427" w:rsidRDefault="00D9551C">
            <w:pPr>
              <w:widowControl w:val="0"/>
              <w:spacing w:line="240" w:lineRule="auto"/>
            </w:pPr>
            <w:r>
              <w:t>33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A9151" w14:textId="77777777" w:rsidR="00450427" w:rsidRDefault="00D9551C">
            <w:pPr>
              <w:widowControl w:val="0"/>
              <w:spacing w:line="240" w:lineRule="auto"/>
            </w:pPr>
            <w:r>
              <w:t>10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5B5A8" w14:textId="77777777" w:rsidR="00450427" w:rsidRDefault="00D9551C">
            <w:pPr>
              <w:widowControl w:val="0"/>
              <w:spacing w:line="240" w:lineRule="auto"/>
            </w:pPr>
            <w:r>
              <w:t>63</w:t>
            </w:r>
          </w:p>
        </w:tc>
      </w:tr>
      <w:tr w:rsidR="00450427" w14:paraId="33C44345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2F84" w14:textId="77777777" w:rsidR="00450427" w:rsidRDefault="00D9551C">
            <w:pPr>
              <w:widowControl w:val="0"/>
              <w:spacing w:line="240" w:lineRule="auto"/>
            </w:pPr>
            <w:r>
              <w:t>4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0B7A3" w14:textId="77777777" w:rsidR="00450427" w:rsidRDefault="00D9551C">
            <w:pPr>
              <w:widowControl w:val="0"/>
              <w:spacing w:line="240" w:lineRule="auto"/>
            </w:pPr>
            <w:r>
              <w:t>36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1DC81" w14:textId="77777777" w:rsidR="00450427" w:rsidRDefault="00D9551C">
            <w:pPr>
              <w:widowControl w:val="0"/>
              <w:spacing w:line="240" w:lineRule="auto"/>
            </w:pPr>
            <w:r>
              <w:t>11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5171A" w14:textId="77777777" w:rsidR="00450427" w:rsidRDefault="00D9551C">
            <w:pPr>
              <w:widowControl w:val="0"/>
              <w:spacing w:line="240" w:lineRule="auto"/>
            </w:pPr>
            <w:r>
              <w:t>64</w:t>
            </w:r>
          </w:p>
        </w:tc>
      </w:tr>
      <w:tr w:rsidR="00450427" w14:paraId="73996B04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58D9B" w14:textId="77777777" w:rsidR="00450427" w:rsidRDefault="00D9551C">
            <w:pPr>
              <w:widowControl w:val="0"/>
              <w:spacing w:line="240" w:lineRule="auto"/>
            </w:pPr>
            <w:r>
              <w:t>5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6171F" w14:textId="77777777" w:rsidR="00450427" w:rsidRDefault="00D9551C">
            <w:pPr>
              <w:widowControl w:val="0"/>
              <w:spacing w:line="240" w:lineRule="auto"/>
            </w:pPr>
            <w:r>
              <w:t>40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1F9B9" w14:textId="77777777" w:rsidR="00450427" w:rsidRDefault="00D9551C">
            <w:pPr>
              <w:widowControl w:val="0"/>
              <w:spacing w:line="240" w:lineRule="auto"/>
            </w:pPr>
            <w:r>
              <w:t>12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5F29E" w14:textId="77777777" w:rsidR="00450427" w:rsidRDefault="00D9551C">
            <w:pPr>
              <w:widowControl w:val="0"/>
              <w:spacing w:line="240" w:lineRule="auto"/>
            </w:pPr>
            <w:r>
              <w:t>46</w:t>
            </w:r>
          </w:p>
        </w:tc>
      </w:tr>
      <w:tr w:rsidR="00450427" w14:paraId="102D3573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B6D90" w14:textId="77777777" w:rsidR="00450427" w:rsidRDefault="00D9551C">
            <w:pPr>
              <w:widowControl w:val="0"/>
              <w:spacing w:line="240" w:lineRule="auto"/>
            </w:pPr>
            <w:r>
              <w:t xml:space="preserve">Total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729EB" w14:textId="77777777" w:rsidR="00450427" w:rsidRDefault="00D9551C">
            <w:pPr>
              <w:widowControl w:val="0"/>
              <w:spacing w:line="240" w:lineRule="auto"/>
              <w:rPr>
                <w:shd w:val="clear" w:color="auto" w:fill="FFD966"/>
              </w:rPr>
            </w:pPr>
            <w:r>
              <w:rPr>
                <w:shd w:val="clear" w:color="auto" w:fill="FFD966"/>
              </w:rPr>
              <w:t>278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FF8D6" w14:textId="77777777" w:rsidR="00450427" w:rsidRDefault="00D9551C">
            <w:pPr>
              <w:widowControl w:val="0"/>
              <w:spacing w:line="240" w:lineRule="auto"/>
            </w:pPr>
            <w:r>
              <w:t>Total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9E2C4" w14:textId="77777777" w:rsidR="00450427" w:rsidRDefault="00D9551C">
            <w:pPr>
              <w:widowControl w:val="0"/>
              <w:spacing w:line="240" w:lineRule="auto"/>
              <w:rPr>
                <w:shd w:val="clear" w:color="auto" w:fill="FFD966"/>
              </w:rPr>
            </w:pPr>
            <w:r>
              <w:rPr>
                <w:shd w:val="clear" w:color="auto" w:fill="FFD966"/>
              </w:rPr>
              <w:t>359</w:t>
            </w:r>
          </w:p>
        </w:tc>
      </w:tr>
    </w:tbl>
    <w:p w14:paraId="316831C1" w14:textId="77777777" w:rsidR="00450427" w:rsidRDefault="00D9551C">
      <w:pPr>
        <w:jc w:val="center"/>
        <w:rPr>
          <w:shd w:val="clear" w:color="auto" w:fill="FFD966"/>
        </w:rPr>
      </w:pPr>
      <w:r>
        <w:rPr>
          <w:shd w:val="clear" w:color="auto" w:fill="FFD966"/>
        </w:rPr>
        <w:t>BISD Total Enrollment Preschool - 12th Grade: 637</w:t>
      </w:r>
    </w:p>
    <w:p w14:paraId="05497CB4" w14:textId="77777777" w:rsidR="00450427" w:rsidRDefault="00450427">
      <w:pPr>
        <w:jc w:val="center"/>
        <w:rPr>
          <w:shd w:val="clear" w:color="auto" w:fill="FFD966"/>
        </w:rPr>
      </w:pPr>
    </w:p>
    <w:p w14:paraId="6F41B2B8" w14:textId="77777777" w:rsidR="00450427" w:rsidRDefault="00450427">
      <w:pPr>
        <w:rPr>
          <w:shd w:val="clear" w:color="auto" w:fill="FFD966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450427" w14:paraId="26FEAE25" w14:textId="77777777">
        <w:trPr>
          <w:trHeight w:val="420"/>
        </w:trPr>
        <w:tc>
          <w:tcPr>
            <w:tcW w:w="9360" w:type="dxa"/>
            <w:gridSpan w:val="3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238ED" w14:textId="77777777" w:rsidR="00450427" w:rsidRDefault="00D9551C">
            <w:pPr>
              <w:widowControl w:val="0"/>
              <w:spacing w:line="240" w:lineRule="auto"/>
              <w:jc w:val="center"/>
            </w:pPr>
            <w:r>
              <w:t xml:space="preserve">BISD Attendance </w:t>
            </w:r>
          </w:p>
        </w:tc>
      </w:tr>
      <w:tr w:rsidR="00450427" w14:paraId="7622E942" w14:textId="77777777">
        <w:tc>
          <w:tcPr>
            <w:tcW w:w="312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B9750" w14:textId="77777777" w:rsidR="00450427" w:rsidRDefault="00450427">
            <w:pPr>
              <w:widowControl w:val="0"/>
              <w:spacing w:line="240" w:lineRule="auto"/>
              <w:jc w:val="center"/>
            </w:pPr>
          </w:p>
        </w:tc>
        <w:tc>
          <w:tcPr>
            <w:tcW w:w="312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891AF" w14:textId="77777777" w:rsidR="00450427" w:rsidRDefault="00D9551C">
            <w:pPr>
              <w:widowControl w:val="0"/>
              <w:spacing w:line="240" w:lineRule="auto"/>
              <w:jc w:val="center"/>
            </w:pPr>
            <w:r>
              <w:t>GES</w:t>
            </w:r>
          </w:p>
        </w:tc>
        <w:tc>
          <w:tcPr>
            <w:tcW w:w="312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9B432" w14:textId="77777777" w:rsidR="00450427" w:rsidRDefault="00D9551C">
            <w:pPr>
              <w:widowControl w:val="0"/>
              <w:spacing w:line="240" w:lineRule="auto"/>
              <w:jc w:val="center"/>
            </w:pPr>
            <w:r>
              <w:t>BMS/BHS</w:t>
            </w:r>
          </w:p>
        </w:tc>
      </w:tr>
      <w:tr w:rsidR="00450427" w14:paraId="3A030F7B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B7600" w14:textId="77777777" w:rsidR="00450427" w:rsidRDefault="00D9551C">
            <w:pPr>
              <w:widowControl w:val="0"/>
              <w:spacing w:line="240" w:lineRule="auto"/>
              <w:jc w:val="center"/>
            </w:pPr>
            <w:r>
              <w:t>August (8/17-8/31)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A9C91" w14:textId="77777777" w:rsidR="00450427" w:rsidRDefault="00D9551C">
            <w:pPr>
              <w:widowControl w:val="0"/>
              <w:spacing w:line="240" w:lineRule="auto"/>
              <w:jc w:val="center"/>
            </w:pPr>
            <w:r>
              <w:t>95.75%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533D9" w14:textId="77777777" w:rsidR="00450427" w:rsidRDefault="00D9551C">
            <w:pPr>
              <w:widowControl w:val="0"/>
              <w:spacing w:line="240" w:lineRule="auto"/>
              <w:jc w:val="center"/>
            </w:pPr>
            <w:r>
              <w:t>94.63%</w:t>
            </w:r>
          </w:p>
        </w:tc>
      </w:tr>
      <w:tr w:rsidR="00450427" w14:paraId="487BC439" w14:textId="77777777">
        <w:trPr>
          <w:trHeight w:val="327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5C112" w14:textId="77777777" w:rsidR="00450427" w:rsidRDefault="00D9551C">
            <w:pPr>
              <w:widowControl w:val="0"/>
              <w:spacing w:line="240" w:lineRule="auto"/>
              <w:jc w:val="center"/>
            </w:pPr>
            <w:r>
              <w:t>September (9/1 - 9/30)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C8BC9" w14:textId="77777777" w:rsidR="00450427" w:rsidRDefault="00D9551C">
            <w:pPr>
              <w:widowControl w:val="0"/>
              <w:spacing w:line="240" w:lineRule="auto"/>
              <w:jc w:val="center"/>
            </w:pPr>
            <w:r>
              <w:t>95.24%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B52FF" w14:textId="77777777" w:rsidR="00450427" w:rsidRDefault="00D9551C">
            <w:pPr>
              <w:widowControl w:val="0"/>
              <w:spacing w:line="240" w:lineRule="auto"/>
              <w:jc w:val="center"/>
            </w:pPr>
            <w:r>
              <w:t>91.94%</w:t>
            </w:r>
          </w:p>
        </w:tc>
      </w:tr>
      <w:tr w:rsidR="00450427" w14:paraId="6DFEE5B5" w14:textId="77777777">
        <w:trPr>
          <w:trHeight w:val="327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39267" w14:textId="77777777" w:rsidR="00450427" w:rsidRDefault="00D9551C">
            <w:pPr>
              <w:widowControl w:val="0"/>
              <w:spacing w:line="240" w:lineRule="auto"/>
              <w:jc w:val="center"/>
            </w:pPr>
            <w:r>
              <w:t>October (10/1 - 10/31)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44F23" w14:textId="77777777" w:rsidR="00450427" w:rsidRDefault="00D9551C">
            <w:pPr>
              <w:widowControl w:val="0"/>
              <w:spacing w:line="240" w:lineRule="auto"/>
              <w:jc w:val="center"/>
            </w:pPr>
            <w:r>
              <w:t>94.78%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C3C2" w14:textId="77777777" w:rsidR="00450427" w:rsidRDefault="00D9551C">
            <w:pPr>
              <w:widowControl w:val="0"/>
              <w:spacing w:line="240" w:lineRule="auto"/>
              <w:jc w:val="center"/>
            </w:pPr>
            <w:r>
              <w:t>92.84%</w:t>
            </w:r>
          </w:p>
        </w:tc>
      </w:tr>
      <w:tr w:rsidR="00450427" w14:paraId="6FC88B7D" w14:textId="77777777">
        <w:trPr>
          <w:trHeight w:val="327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F30E3" w14:textId="77777777" w:rsidR="00450427" w:rsidRDefault="00D9551C">
            <w:pPr>
              <w:widowControl w:val="0"/>
              <w:spacing w:line="240" w:lineRule="auto"/>
              <w:jc w:val="center"/>
            </w:pPr>
            <w:r>
              <w:t>November (11/1 - 11/30)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3501A" w14:textId="77777777" w:rsidR="00450427" w:rsidRDefault="00D9551C">
            <w:pPr>
              <w:widowControl w:val="0"/>
              <w:spacing w:line="240" w:lineRule="auto"/>
              <w:jc w:val="center"/>
            </w:pPr>
            <w:r>
              <w:t>92.95%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4D4E8" w14:textId="77777777" w:rsidR="00450427" w:rsidRDefault="00D9551C">
            <w:pPr>
              <w:widowControl w:val="0"/>
              <w:spacing w:line="240" w:lineRule="auto"/>
              <w:jc w:val="center"/>
            </w:pPr>
            <w:r>
              <w:t>89.80%</w:t>
            </w:r>
          </w:p>
        </w:tc>
      </w:tr>
      <w:tr w:rsidR="00450427" w14:paraId="05FFF172" w14:textId="77777777">
        <w:trPr>
          <w:trHeight w:val="327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C37FD" w14:textId="77777777" w:rsidR="00450427" w:rsidRDefault="00D9551C">
            <w:pPr>
              <w:widowControl w:val="0"/>
              <w:spacing w:line="240" w:lineRule="auto"/>
              <w:jc w:val="center"/>
            </w:pPr>
            <w:r>
              <w:t>December (12/1-12/7)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CCF3C" w14:textId="77777777" w:rsidR="00450427" w:rsidRDefault="00D9551C">
            <w:pPr>
              <w:widowControl w:val="0"/>
              <w:spacing w:line="240" w:lineRule="auto"/>
              <w:jc w:val="center"/>
            </w:pPr>
            <w:r>
              <w:t>91.80%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7010B" w14:textId="77777777" w:rsidR="00450427" w:rsidRDefault="00D9551C">
            <w:pPr>
              <w:widowControl w:val="0"/>
              <w:spacing w:line="240" w:lineRule="auto"/>
              <w:jc w:val="center"/>
            </w:pPr>
            <w:r>
              <w:t>86.56%</w:t>
            </w:r>
          </w:p>
        </w:tc>
      </w:tr>
      <w:tr w:rsidR="00450427" w14:paraId="3331AE4A" w14:textId="77777777">
        <w:trPr>
          <w:trHeight w:val="117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E4C00" w14:textId="77777777" w:rsidR="00450427" w:rsidRDefault="00D9551C">
            <w:pPr>
              <w:widowControl w:val="0"/>
              <w:spacing w:line="240" w:lineRule="auto"/>
              <w:jc w:val="center"/>
              <w:rPr>
                <w:sz w:val="20"/>
                <w:szCs w:val="20"/>
                <w:shd w:val="clear" w:color="auto" w:fill="FFD966"/>
              </w:rPr>
            </w:pPr>
            <w:r>
              <w:rPr>
                <w:sz w:val="20"/>
                <w:szCs w:val="20"/>
                <w:shd w:val="clear" w:color="auto" w:fill="FFD966"/>
              </w:rPr>
              <w:t xml:space="preserve">August 17th - December 7th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66E92" w14:textId="77777777" w:rsidR="00450427" w:rsidRDefault="00D9551C">
            <w:pPr>
              <w:widowControl w:val="0"/>
              <w:spacing w:line="240" w:lineRule="auto"/>
              <w:jc w:val="center"/>
              <w:rPr>
                <w:shd w:val="clear" w:color="auto" w:fill="FFD966"/>
              </w:rPr>
            </w:pPr>
            <w:r>
              <w:rPr>
                <w:shd w:val="clear" w:color="auto" w:fill="FFD966"/>
              </w:rPr>
              <w:t>94.42%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CB752" w14:textId="77777777" w:rsidR="00450427" w:rsidRDefault="00D9551C">
            <w:pPr>
              <w:widowControl w:val="0"/>
              <w:spacing w:line="240" w:lineRule="auto"/>
              <w:jc w:val="center"/>
              <w:rPr>
                <w:shd w:val="clear" w:color="auto" w:fill="FFD966"/>
              </w:rPr>
            </w:pPr>
            <w:r>
              <w:rPr>
                <w:shd w:val="clear" w:color="auto" w:fill="FFD966"/>
              </w:rPr>
              <w:t>91.90%</w:t>
            </w:r>
          </w:p>
        </w:tc>
      </w:tr>
    </w:tbl>
    <w:p w14:paraId="13F81D22" w14:textId="77777777" w:rsidR="00450427" w:rsidRDefault="00450427">
      <w:pPr>
        <w:spacing w:before="240" w:after="240"/>
      </w:pPr>
    </w:p>
    <w:p w14:paraId="3082696F" w14:textId="77777777" w:rsidR="00450427" w:rsidRDefault="00D9551C">
      <w:pPr>
        <w:numPr>
          <w:ilvl w:val="0"/>
          <w:numId w:val="5"/>
        </w:numPr>
        <w:spacing w:before="240"/>
      </w:pPr>
      <w:r>
        <w:lastRenderedPageBreak/>
        <w:t>The attendance audit will take place the week on January 23rd.</w:t>
      </w:r>
      <w:r>
        <w:t xml:space="preserve"> I am looking forward to working with KDE to ensure we have the correct practices and procedures in place. I am utilizing the KDE documentation provided to prepare for the upcoming audit.</w:t>
      </w:r>
    </w:p>
    <w:p w14:paraId="16139720" w14:textId="77777777" w:rsidR="00450427" w:rsidRDefault="00D9551C">
      <w:pPr>
        <w:numPr>
          <w:ilvl w:val="0"/>
          <w:numId w:val="5"/>
        </w:numPr>
      </w:pPr>
      <w:r>
        <w:t>The calendar committee will meet this month to start discussing opti</w:t>
      </w:r>
      <w:r>
        <w:t>ons for the 2023-24 District Academic Calendar.  The goal is to finalize the draft calendar and have it to the board for the first reading during the January meeting.</w:t>
      </w:r>
    </w:p>
    <w:p w14:paraId="08996B43" w14:textId="77777777" w:rsidR="00450427" w:rsidRDefault="00D9551C">
      <w:pPr>
        <w:numPr>
          <w:ilvl w:val="0"/>
          <w:numId w:val="5"/>
        </w:numPr>
        <w:spacing w:after="240"/>
      </w:pPr>
      <w:r>
        <w:t>We are continuing to establish and refine our district enrollment procedures for non-resi</w:t>
      </w:r>
      <w:r>
        <w:t>dent students. I am working closely with Mrs. Middleton to ensure we have clear procedures and policies in place before we have open enrollment in the spring.</w:t>
      </w:r>
    </w:p>
    <w:p w14:paraId="00B4AB81" w14:textId="77777777" w:rsidR="00450427" w:rsidRDefault="00D9551C">
      <w:r>
        <w:t xml:space="preserve">District Assessment Coordinator </w:t>
      </w:r>
    </w:p>
    <w:p w14:paraId="2E243640" w14:textId="77777777" w:rsidR="00450427" w:rsidRDefault="00D9551C">
      <w:pPr>
        <w:numPr>
          <w:ilvl w:val="0"/>
          <w:numId w:val="2"/>
        </w:numPr>
      </w:pPr>
      <w:r>
        <w:t xml:space="preserve">Winter MAP administration will begin after winter break in both </w:t>
      </w:r>
      <w:r>
        <w:t xml:space="preserve">buildings. Fall MAP grade level data can be accessed </w:t>
      </w:r>
      <w:hyperlink r:id="rId8">
        <w:r>
          <w:rPr>
            <w:color w:val="1155CC"/>
            <w:u w:val="single"/>
          </w:rPr>
          <w:t>HERE</w:t>
        </w:r>
      </w:hyperlink>
      <w:r>
        <w:t xml:space="preserve">. We will review growth data after the winter assessment window closes in January. </w:t>
      </w:r>
      <w:r>
        <w:t xml:space="preserve"> I plan to share growth data with the board in February. </w:t>
      </w:r>
    </w:p>
    <w:p w14:paraId="3E420C8B" w14:textId="77777777" w:rsidR="00450427" w:rsidRDefault="00D9551C">
      <w:pPr>
        <w:numPr>
          <w:ilvl w:val="0"/>
          <w:numId w:val="2"/>
        </w:numPr>
      </w:pPr>
      <w:r>
        <w:t xml:space="preserve">The district assessment calendar can be accessed </w:t>
      </w:r>
      <w:hyperlink r:id="rId9">
        <w:r>
          <w:rPr>
            <w:color w:val="1155CC"/>
            <w:u w:val="single"/>
          </w:rPr>
          <w:t>HERE</w:t>
        </w:r>
      </w:hyperlink>
      <w:r>
        <w:t>.</w:t>
      </w:r>
    </w:p>
    <w:p w14:paraId="06E806EE" w14:textId="77777777" w:rsidR="00450427" w:rsidRDefault="00D9551C">
      <w:pPr>
        <w:numPr>
          <w:ilvl w:val="0"/>
          <w:numId w:val="2"/>
        </w:numPr>
        <w:rPr>
          <w:sz w:val="20"/>
          <w:szCs w:val="20"/>
        </w:rPr>
      </w:pPr>
      <w:r>
        <w:t>KSA data can be found on th</w:t>
      </w:r>
      <w:r>
        <w:t xml:space="preserve">e School Report Card </w:t>
      </w:r>
      <w:hyperlink r:id="rId10">
        <w:r>
          <w:rPr>
            <w:color w:val="1155CC"/>
            <w:u w:val="single"/>
          </w:rPr>
          <w:t>WEBSITE</w:t>
        </w:r>
      </w:hyperlink>
      <w:r>
        <w:t xml:space="preserve"> </w:t>
      </w:r>
    </w:p>
    <w:p w14:paraId="0E5E8CC4" w14:textId="77777777" w:rsidR="00450427" w:rsidRDefault="00D9551C">
      <w:pPr>
        <w:numPr>
          <w:ilvl w:val="0"/>
          <w:numId w:val="4"/>
        </w:numPr>
      </w:pPr>
      <w:r>
        <w:t xml:space="preserve">BHS will administer the KYOTE </w:t>
      </w:r>
      <w:proofErr w:type="gramStart"/>
      <w:r>
        <w:t>assessment  December</w:t>
      </w:r>
      <w:proofErr w:type="gramEnd"/>
      <w:r>
        <w:t xml:space="preserve"> 12th - 14th.  These testing dates were added to the district assessment calendar.</w:t>
      </w:r>
    </w:p>
    <w:p w14:paraId="5C4AE66F" w14:textId="77777777" w:rsidR="00450427" w:rsidRDefault="00D9551C">
      <w:pPr>
        <w:numPr>
          <w:ilvl w:val="0"/>
          <w:numId w:val="3"/>
        </w:numPr>
      </w:pPr>
      <w:r>
        <w:t>Preliminary</w:t>
      </w:r>
      <w:r>
        <w:t xml:space="preserve"> Brigance data can be accessed </w:t>
      </w:r>
      <w:hyperlink r:id="rId11">
        <w:r>
          <w:rPr>
            <w:color w:val="1155CC"/>
            <w:u w:val="single"/>
          </w:rPr>
          <w:t>HERE</w:t>
        </w:r>
      </w:hyperlink>
      <w:r>
        <w:t xml:space="preserve">. </w:t>
      </w:r>
    </w:p>
    <w:p w14:paraId="4077291C" w14:textId="77777777" w:rsidR="00450427" w:rsidRDefault="00D9551C">
      <w:pPr>
        <w:numPr>
          <w:ilvl w:val="0"/>
          <w:numId w:val="4"/>
        </w:numPr>
      </w:pPr>
      <w:r>
        <w:t xml:space="preserve">ACCESS testing will take place January 30, 2023 - February 3, 2023.  Ashley </w:t>
      </w:r>
      <w:proofErr w:type="spellStart"/>
      <w:r>
        <w:t>Valerius</w:t>
      </w:r>
      <w:proofErr w:type="spellEnd"/>
      <w:r>
        <w:t xml:space="preserve">, NKCES EL consultant, is working hard preparing materials and communication about the upcoming assessment.  Ashley </w:t>
      </w:r>
      <w:proofErr w:type="spellStart"/>
      <w:r>
        <w:t>Valerius</w:t>
      </w:r>
      <w:proofErr w:type="spellEnd"/>
      <w:r>
        <w:t xml:space="preserve">, Heather McDougall, Sara Teegarden, and myself </w:t>
      </w:r>
      <w:r>
        <w:t>collaborated this month to determine testing locations and review assessment procedures.</w:t>
      </w:r>
    </w:p>
    <w:p w14:paraId="3670E985" w14:textId="77777777" w:rsidR="00450427" w:rsidRDefault="00450427"/>
    <w:p w14:paraId="24BB5EB2" w14:textId="77777777" w:rsidR="00450427" w:rsidRDefault="00D9551C">
      <w:r>
        <w:t>Gifted and Talented</w:t>
      </w:r>
    </w:p>
    <w:p w14:paraId="432CA22A" w14:textId="77777777" w:rsidR="00450427" w:rsidRDefault="00D9551C">
      <w:pPr>
        <w:numPr>
          <w:ilvl w:val="0"/>
          <w:numId w:val="1"/>
        </w:numPr>
      </w:pPr>
      <w:r>
        <w:t xml:space="preserve">Currently, we have 8.2% of students in our district identified in our gifted education program. Tracey Elrod, our gifted and talented teacher, is </w:t>
      </w:r>
      <w:r>
        <w:t>working closely with staff and administration to identify more students. They are utilizing various data points, along with teacher and parent input to identify students.  This has been a huge need in our district for several years.  Tracey is collaboratin</w:t>
      </w:r>
      <w:r>
        <w:t>g with teachers to provide resources to elevate instruction and co-teaching in classrooms when appropriate.  She is also pulling small groups, planning field trips, and communicating with all stakeholders.  We are working closely to ensure all procedures a</w:t>
      </w:r>
      <w:r>
        <w:t>re in place to identify our students showing qualities required for gifted and talented identification.  We are thrilled to have Tracey.  She is already making a huge difference in our gifted and talented program.  I can’t wait to see what the future holds</w:t>
      </w:r>
      <w:r>
        <w:t xml:space="preserve">. Click </w:t>
      </w:r>
      <w:hyperlink r:id="rId12">
        <w:r>
          <w:rPr>
            <w:color w:val="1155CC"/>
            <w:u w:val="single"/>
          </w:rPr>
          <w:t>HERE</w:t>
        </w:r>
      </w:hyperlink>
      <w:r>
        <w:t xml:space="preserve"> to see gifted and talented participation numbers by category.  </w:t>
      </w:r>
    </w:p>
    <w:p w14:paraId="2255F462" w14:textId="77777777" w:rsidR="00450427" w:rsidRDefault="00450427"/>
    <w:p w14:paraId="568D263F" w14:textId="77777777" w:rsidR="00450427" w:rsidRDefault="00450427"/>
    <w:p w14:paraId="00012624" w14:textId="77777777" w:rsidR="00450427" w:rsidRDefault="00450427">
      <w:pPr>
        <w:ind w:left="720"/>
      </w:pPr>
    </w:p>
    <w:p w14:paraId="4720F218" w14:textId="77777777" w:rsidR="00450427" w:rsidRDefault="00450427"/>
    <w:sectPr w:rsidR="0045042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E767C"/>
    <w:multiLevelType w:val="multilevel"/>
    <w:tmpl w:val="8C8C78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DE56EFF"/>
    <w:multiLevelType w:val="multilevel"/>
    <w:tmpl w:val="D6065F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27743E1"/>
    <w:multiLevelType w:val="multilevel"/>
    <w:tmpl w:val="8952A7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2BD1D8F"/>
    <w:multiLevelType w:val="multilevel"/>
    <w:tmpl w:val="373C7E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FFB1C03"/>
    <w:multiLevelType w:val="multilevel"/>
    <w:tmpl w:val="B38448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427"/>
    <w:rsid w:val="00450427"/>
    <w:rsid w:val="00950AD8"/>
    <w:rsid w:val="00D9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6B3AD"/>
  <w15:docId w15:val="{B3060523-1F0C-44D9-BA30-A935F678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mZspmIZUsy7pc0tZkTqoP7SwEN14ChW6SMtjAg_777c/edit?usp=sharing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cs.google.com/document/d/1028THShIwl1xVs9kFNRKGK7NVBe7GlCo59flgx_xFFE/edit?usp=shar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s.google.com/document/d/1WIP0YOYIZj2pbQHNZUbICDDcfMayYWC2IIQX5SoDAwQ/edit?usp=sharing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kyschoolreportcard.com/organization/5512?year=2022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8dfIGoyB3f3pPYjg3tObFMkctXGQ2yc_hr8Mrs46d3o/edit?usp=shar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4" ma:contentTypeDescription="Create a new document." ma:contentTypeScope="" ma:versionID="be7474abf1ff9dee859681c8d97ac4e0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3d38273058188780937400980ed93f4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3DBEDA-D582-47CA-9C7E-70F856AEA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871F4C-1FF1-403E-9163-CB87B316D8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15DF79-C466-4868-9021-5B888BD9AC6A}">
  <ds:schemaRefs>
    <ds:schemaRef ds:uri="http://purl.org/dc/terms/"/>
    <ds:schemaRef ds:uri="94627f6b-45aa-4f11-bbeb-ed3626982268"/>
    <ds:schemaRef ds:uri="http://schemas.microsoft.com/office/2006/documentManagement/types"/>
    <ds:schemaRef ds:uri="dba9d881-5f3a-40f9-a9a7-00e960d0e466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Fardo, Renee</dc:creator>
  <cp:lastModifiedBy>Fardo, Renee</cp:lastModifiedBy>
  <cp:revision>2</cp:revision>
  <dcterms:created xsi:type="dcterms:W3CDTF">2022-12-08T18:38:00Z</dcterms:created>
  <dcterms:modified xsi:type="dcterms:W3CDTF">2022-12-08T18:38:00Z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