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7DA7D" w14:textId="77777777" w:rsidR="0096514B" w:rsidRDefault="004C1C4F">
      <w:pPr>
        <w:jc w:val="center"/>
      </w:pPr>
      <w:bookmarkStart w:id="0" w:name="_GoBack"/>
      <w:bookmarkEnd w:id="0"/>
      <w:r>
        <w:t>Director of District Support Services</w:t>
      </w:r>
    </w:p>
    <w:p w14:paraId="08D5BB7D" w14:textId="77777777" w:rsidR="0096514B" w:rsidRDefault="004C1C4F">
      <w:pPr>
        <w:jc w:val="center"/>
      </w:pPr>
      <w:r>
        <w:t>Board Report - August 2022</w:t>
      </w:r>
    </w:p>
    <w:p w14:paraId="0A86683B" w14:textId="77777777" w:rsidR="0096514B" w:rsidRDefault="004C1C4F">
      <w:pPr>
        <w:jc w:val="center"/>
      </w:pPr>
      <w:r>
        <w:t>Submitted by Katrina Rechtin</w:t>
      </w:r>
    </w:p>
    <w:p w14:paraId="61594D4A" w14:textId="77777777" w:rsidR="0096514B" w:rsidRDefault="0096514B">
      <w:pPr>
        <w:jc w:val="center"/>
      </w:pPr>
    </w:p>
    <w:p w14:paraId="39F6F004" w14:textId="77777777" w:rsidR="0096514B" w:rsidRDefault="004C1C4F">
      <w:r>
        <w:t>Director of Pupil Personnel</w:t>
      </w:r>
    </w:p>
    <w:p w14:paraId="5162A504" w14:textId="77777777" w:rsidR="0096514B" w:rsidRDefault="0096514B"/>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6514B" w14:paraId="635938BA" w14:textId="77777777">
        <w:trPr>
          <w:trHeight w:val="420"/>
        </w:trPr>
        <w:tc>
          <w:tcPr>
            <w:tcW w:w="9360" w:type="dxa"/>
            <w:gridSpan w:val="4"/>
            <w:shd w:val="clear" w:color="auto" w:fill="FFD966"/>
            <w:tcMar>
              <w:top w:w="100" w:type="dxa"/>
              <w:left w:w="100" w:type="dxa"/>
              <w:bottom w:w="100" w:type="dxa"/>
              <w:right w:w="100" w:type="dxa"/>
            </w:tcMar>
          </w:tcPr>
          <w:p w14:paraId="506162F1" w14:textId="77777777" w:rsidR="0096514B" w:rsidRDefault="004C1C4F">
            <w:pPr>
              <w:widowControl w:val="0"/>
              <w:spacing w:line="240" w:lineRule="auto"/>
              <w:jc w:val="center"/>
            </w:pPr>
            <w:r>
              <w:t>BISD 2020-21 Enrollment Information</w:t>
            </w:r>
          </w:p>
          <w:p w14:paraId="431DA53F" w14:textId="77777777" w:rsidR="0096514B" w:rsidRDefault="004C1C4F">
            <w:pPr>
              <w:widowControl w:val="0"/>
              <w:spacing w:line="240" w:lineRule="auto"/>
              <w:jc w:val="center"/>
            </w:pPr>
            <w:r>
              <w:t>(Numbers pulled from Infinite Campus on August 17, 2022)</w:t>
            </w:r>
          </w:p>
        </w:tc>
      </w:tr>
      <w:tr w:rsidR="0096514B" w14:paraId="6BF62E32" w14:textId="77777777">
        <w:trPr>
          <w:trHeight w:val="420"/>
        </w:trPr>
        <w:tc>
          <w:tcPr>
            <w:tcW w:w="4680" w:type="dxa"/>
            <w:gridSpan w:val="2"/>
            <w:shd w:val="clear" w:color="auto" w:fill="B7B7B7"/>
            <w:tcMar>
              <w:top w:w="100" w:type="dxa"/>
              <w:left w:w="100" w:type="dxa"/>
              <w:bottom w:w="100" w:type="dxa"/>
              <w:right w:w="100" w:type="dxa"/>
            </w:tcMar>
          </w:tcPr>
          <w:p w14:paraId="70E2256A" w14:textId="77777777" w:rsidR="0096514B" w:rsidRDefault="004C1C4F">
            <w:pPr>
              <w:widowControl w:val="0"/>
              <w:spacing w:line="240" w:lineRule="auto"/>
              <w:jc w:val="center"/>
            </w:pPr>
            <w:r>
              <w:t>GES</w:t>
            </w:r>
          </w:p>
        </w:tc>
        <w:tc>
          <w:tcPr>
            <w:tcW w:w="4680" w:type="dxa"/>
            <w:gridSpan w:val="2"/>
            <w:shd w:val="clear" w:color="auto" w:fill="B7B7B7"/>
            <w:tcMar>
              <w:top w:w="100" w:type="dxa"/>
              <w:left w:w="100" w:type="dxa"/>
              <w:bottom w:w="100" w:type="dxa"/>
              <w:right w:w="100" w:type="dxa"/>
            </w:tcMar>
          </w:tcPr>
          <w:p w14:paraId="2EC2384A" w14:textId="77777777" w:rsidR="0096514B" w:rsidRDefault="004C1C4F">
            <w:pPr>
              <w:widowControl w:val="0"/>
              <w:spacing w:line="240" w:lineRule="auto"/>
              <w:jc w:val="center"/>
            </w:pPr>
            <w:r>
              <w:t>BMS/BHS</w:t>
            </w:r>
          </w:p>
        </w:tc>
      </w:tr>
      <w:tr w:rsidR="0096514B" w14:paraId="771A9F64" w14:textId="77777777">
        <w:tc>
          <w:tcPr>
            <w:tcW w:w="2340" w:type="dxa"/>
            <w:shd w:val="clear" w:color="auto" w:fill="auto"/>
            <w:tcMar>
              <w:top w:w="100" w:type="dxa"/>
              <w:left w:w="100" w:type="dxa"/>
              <w:bottom w:w="100" w:type="dxa"/>
              <w:right w:w="100" w:type="dxa"/>
            </w:tcMar>
          </w:tcPr>
          <w:p w14:paraId="5E5720A9" w14:textId="77777777" w:rsidR="0096514B" w:rsidRDefault="004C1C4F">
            <w:pPr>
              <w:widowControl w:val="0"/>
              <w:spacing w:line="240" w:lineRule="auto"/>
            </w:pPr>
            <w:r>
              <w:t>Preschool</w:t>
            </w:r>
          </w:p>
        </w:tc>
        <w:tc>
          <w:tcPr>
            <w:tcW w:w="2340" w:type="dxa"/>
            <w:shd w:val="clear" w:color="auto" w:fill="auto"/>
            <w:tcMar>
              <w:top w:w="100" w:type="dxa"/>
              <w:left w:w="100" w:type="dxa"/>
              <w:bottom w:w="100" w:type="dxa"/>
              <w:right w:w="100" w:type="dxa"/>
            </w:tcMar>
          </w:tcPr>
          <w:p w14:paraId="4F8CCDD5" w14:textId="77777777" w:rsidR="0096514B" w:rsidRDefault="004C1C4F">
            <w:pPr>
              <w:widowControl w:val="0"/>
              <w:spacing w:line="240" w:lineRule="auto"/>
            </w:pPr>
            <w:r>
              <w:t>50</w:t>
            </w:r>
          </w:p>
        </w:tc>
        <w:tc>
          <w:tcPr>
            <w:tcW w:w="2340" w:type="dxa"/>
            <w:shd w:val="clear" w:color="auto" w:fill="auto"/>
            <w:tcMar>
              <w:top w:w="100" w:type="dxa"/>
              <w:left w:w="100" w:type="dxa"/>
              <w:bottom w:w="100" w:type="dxa"/>
              <w:right w:w="100" w:type="dxa"/>
            </w:tcMar>
          </w:tcPr>
          <w:p w14:paraId="67C1476F" w14:textId="77777777" w:rsidR="0096514B" w:rsidRDefault="004C1C4F">
            <w:pPr>
              <w:widowControl w:val="0"/>
              <w:spacing w:line="240" w:lineRule="auto"/>
            </w:pPr>
            <w:r>
              <w:t>6</w:t>
            </w:r>
          </w:p>
        </w:tc>
        <w:tc>
          <w:tcPr>
            <w:tcW w:w="2340" w:type="dxa"/>
            <w:shd w:val="clear" w:color="auto" w:fill="auto"/>
            <w:tcMar>
              <w:top w:w="100" w:type="dxa"/>
              <w:left w:w="100" w:type="dxa"/>
              <w:bottom w:w="100" w:type="dxa"/>
              <w:right w:w="100" w:type="dxa"/>
            </w:tcMar>
          </w:tcPr>
          <w:p w14:paraId="7CDE4C1B" w14:textId="77777777" w:rsidR="0096514B" w:rsidRDefault="004C1C4F">
            <w:pPr>
              <w:widowControl w:val="0"/>
              <w:spacing w:line="240" w:lineRule="auto"/>
            </w:pPr>
            <w:r>
              <w:t>30</w:t>
            </w:r>
          </w:p>
        </w:tc>
      </w:tr>
      <w:tr w:rsidR="0096514B" w14:paraId="26D1F5BF" w14:textId="77777777">
        <w:tc>
          <w:tcPr>
            <w:tcW w:w="2340" w:type="dxa"/>
            <w:shd w:val="clear" w:color="auto" w:fill="auto"/>
            <w:tcMar>
              <w:top w:w="100" w:type="dxa"/>
              <w:left w:w="100" w:type="dxa"/>
              <w:bottom w:w="100" w:type="dxa"/>
              <w:right w:w="100" w:type="dxa"/>
            </w:tcMar>
          </w:tcPr>
          <w:p w14:paraId="5361BBA2" w14:textId="77777777" w:rsidR="0096514B" w:rsidRDefault="004C1C4F">
            <w:pPr>
              <w:widowControl w:val="0"/>
              <w:spacing w:line="240" w:lineRule="auto"/>
            </w:pPr>
            <w:r>
              <w:t>K</w:t>
            </w:r>
          </w:p>
        </w:tc>
        <w:tc>
          <w:tcPr>
            <w:tcW w:w="2340" w:type="dxa"/>
            <w:shd w:val="clear" w:color="auto" w:fill="auto"/>
            <w:tcMar>
              <w:top w:w="100" w:type="dxa"/>
              <w:left w:w="100" w:type="dxa"/>
              <w:bottom w:w="100" w:type="dxa"/>
              <w:right w:w="100" w:type="dxa"/>
            </w:tcMar>
          </w:tcPr>
          <w:p w14:paraId="67681CE0" w14:textId="77777777" w:rsidR="0096514B" w:rsidRDefault="004C1C4F">
            <w:pPr>
              <w:widowControl w:val="0"/>
              <w:spacing w:line="240" w:lineRule="auto"/>
            </w:pPr>
            <w:r>
              <w:t>31</w:t>
            </w:r>
          </w:p>
        </w:tc>
        <w:tc>
          <w:tcPr>
            <w:tcW w:w="2340" w:type="dxa"/>
            <w:shd w:val="clear" w:color="auto" w:fill="auto"/>
            <w:tcMar>
              <w:top w:w="100" w:type="dxa"/>
              <w:left w:w="100" w:type="dxa"/>
              <w:bottom w:w="100" w:type="dxa"/>
              <w:right w:w="100" w:type="dxa"/>
            </w:tcMar>
          </w:tcPr>
          <w:p w14:paraId="2028B437" w14:textId="77777777" w:rsidR="0096514B" w:rsidRDefault="004C1C4F">
            <w:pPr>
              <w:widowControl w:val="0"/>
              <w:spacing w:line="240" w:lineRule="auto"/>
            </w:pPr>
            <w:r>
              <w:t>7</w:t>
            </w:r>
          </w:p>
        </w:tc>
        <w:tc>
          <w:tcPr>
            <w:tcW w:w="2340" w:type="dxa"/>
            <w:shd w:val="clear" w:color="auto" w:fill="auto"/>
            <w:tcMar>
              <w:top w:w="100" w:type="dxa"/>
              <w:left w:w="100" w:type="dxa"/>
              <w:bottom w:w="100" w:type="dxa"/>
              <w:right w:w="100" w:type="dxa"/>
            </w:tcMar>
          </w:tcPr>
          <w:p w14:paraId="5496589A" w14:textId="77777777" w:rsidR="0096514B" w:rsidRDefault="004C1C4F">
            <w:pPr>
              <w:widowControl w:val="0"/>
              <w:spacing w:line="240" w:lineRule="auto"/>
            </w:pPr>
            <w:r>
              <w:t>40</w:t>
            </w:r>
          </w:p>
        </w:tc>
      </w:tr>
      <w:tr w:rsidR="0096514B" w14:paraId="6720F728" w14:textId="77777777">
        <w:tc>
          <w:tcPr>
            <w:tcW w:w="2340" w:type="dxa"/>
            <w:shd w:val="clear" w:color="auto" w:fill="auto"/>
            <w:tcMar>
              <w:top w:w="100" w:type="dxa"/>
              <w:left w:w="100" w:type="dxa"/>
              <w:bottom w:w="100" w:type="dxa"/>
              <w:right w:w="100" w:type="dxa"/>
            </w:tcMar>
          </w:tcPr>
          <w:p w14:paraId="5FCD6625" w14:textId="77777777" w:rsidR="0096514B" w:rsidRDefault="004C1C4F">
            <w:pPr>
              <w:widowControl w:val="0"/>
              <w:spacing w:line="240" w:lineRule="auto"/>
            </w:pPr>
            <w:r>
              <w:t>1</w:t>
            </w:r>
          </w:p>
        </w:tc>
        <w:tc>
          <w:tcPr>
            <w:tcW w:w="2340" w:type="dxa"/>
            <w:shd w:val="clear" w:color="auto" w:fill="auto"/>
            <w:tcMar>
              <w:top w:w="100" w:type="dxa"/>
              <w:left w:w="100" w:type="dxa"/>
              <w:bottom w:w="100" w:type="dxa"/>
              <w:right w:w="100" w:type="dxa"/>
            </w:tcMar>
          </w:tcPr>
          <w:p w14:paraId="65D47766" w14:textId="77777777" w:rsidR="0096514B" w:rsidRDefault="004C1C4F">
            <w:pPr>
              <w:widowControl w:val="0"/>
              <w:spacing w:line="240" w:lineRule="auto"/>
            </w:pPr>
            <w:r>
              <w:t>47</w:t>
            </w:r>
          </w:p>
        </w:tc>
        <w:tc>
          <w:tcPr>
            <w:tcW w:w="2340" w:type="dxa"/>
            <w:shd w:val="clear" w:color="auto" w:fill="auto"/>
            <w:tcMar>
              <w:top w:w="100" w:type="dxa"/>
              <w:left w:w="100" w:type="dxa"/>
              <w:bottom w:w="100" w:type="dxa"/>
              <w:right w:w="100" w:type="dxa"/>
            </w:tcMar>
          </w:tcPr>
          <w:p w14:paraId="22F57BB8" w14:textId="77777777" w:rsidR="0096514B" w:rsidRDefault="004C1C4F">
            <w:pPr>
              <w:widowControl w:val="0"/>
              <w:spacing w:line="240" w:lineRule="auto"/>
            </w:pPr>
            <w:r>
              <w:t>8</w:t>
            </w:r>
          </w:p>
        </w:tc>
        <w:tc>
          <w:tcPr>
            <w:tcW w:w="2340" w:type="dxa"/>
            <w:shd w:val="clear" w:color="auto" w:fill="auto"/>
            <w:tcMar>
              <w:top w:w="100" w:type="dxa"/>
              <w:left w:w="100" w:type="dxa"/>
              <w:bottom w:w="100" w:type="dxa"/>
              <w:right w:w="100" w:type="dxa"/>
            </w:tcMar>
          </w:tcPr>
          <w:p w14:paraId="3E97F864" w14:textId="77777777" w:rsidR="0096514B" w:rsidRDefault="004C1C4F">
            <w:pPr>
              <w:widowControl w:val="0"/>
              <w:spacing w:line="240" w:lineRule="auto"/>
            </w:pPr>
            <w:r>
              <w:t>45</w:t>
            </w:r>
          </w:p>
        </w:tc>
      </w:tr>
      <w:tr w:rsidR="0096514B" w14:paraId="302FCD7A" w14:textId="77777777">
        <w:tc>
          <w:tcPr>
            <w:tcW w:w="2340" w:type="dxa"/>
            <w:shd w:val="clear" w:color="auto" w:fill="auto"/>
            <w:tcMar>
              <w:top w:w="100" w:type="dxa"/>
              <w:left w:w="100" w:type="dxa"/>
              <w:bottom w:w="100" w:type="dxa"/>
              <w:right w:w="100" w:type="dxa"/>
            </w:tcMar>
          </w:tcPr>
          <w:p w14:paraId="76B6A9C5" w14:textId="77777777" w:rsidR="0096514B" w:rsidRDefault="004C1C4F">
            <w:pPr>
              <w:widowControl w:val="0"/>
              <w:spacing w:line="240" w:lineRule="auto"/>
            </w:pPr>
            <w:r>
              <w:t>2</w:t>
            </w:r>
          </w:p>
        </w:tc>
        <w:tc>
          <w:tcPr>
            <w:tcW w:w="2340" w:type="dxa"/>
            <w:shd w:val="clear" w:color="auto" w:fill="auto"/>
            <w:tcMar>
              <w:top w:w="100" w:type="dxa"/>
              <w:left w:w="100" w:type="dxa"/>
              <w:bottom w:w="100" w:type="dxa"/>
              <w:right w:w="100" w:type="dxa"/>
            </w:tcMar>
          </w:tcPr>
          <w:p w14:paraId="589BEE84" w14:textId="77777777" w:rsidR="0096514B" w:rsidRDefault="004C1C4F">
            <w:pPr>
              <w:widowControl w:val="0"/>
              <w:spacing w:line="240" w:lineRule="auto"/>
            </w:pPr>
            <w:r>
              <w:t>37</w:t>
            </w:r>
          </w:p>
        </w:tc>
        <w:tc>
          <w:tcPr>
            <w:tcW w:w="2340" w:type="dxa"/>
            <w:shd w:val="clear" w:color="auto" w:fill="auto"/>
            <w:tcMar>
              <w:top w:w="100" w:type="dxa"/>
              <w:left w:w="100" w:type="dxa"/>
              <w:bottom w:w="100" w:type="dxa"/>
              <w:right w:w="100" w:type="dxa"/>
            </w:tcMar>
          </w:tcPr>
          <w:p w14:paraId="711A12D8" w14:textId="77777777" w:rsidR="0096514B" w:rsidRDefault="004C1C4F">
            <w:pPr>
              <w:widowControl w:val="0"/>
              <w:spacing w:line="240" w:lineRule="auto"/>
            </w:pPr>
            <w:r>
              <w:t>9</w:t>
            </w:r>
          </w:p>
        </w:tc>
        <w:tc>
          <w:tcPr>
            <w:tcW w:w="2340" w:type="dxa"/>
            <w:shd w:val="clear" w:color="auto" w:fill="auto"/>
            <w:tcMar>
              <w:top w:w="100" w:type="dxa"/>
              <w:left w:w="100" w:type="dxa"/>
              <w:bottom w:w="100" w:type="dxa"/>
              <w:right w:w="100" w:type="dxa"/>
            </w:tcMar>
          </w:tcPr>
          <w:p w14:paraId="1051E0F5" w14:textId="77777777" w:rsidR="0096514B" w:rsidRDefault="004C1C4F">
            <w:pPr>
              <w:widowControl w:val="0"/>
              <w:spacing w:line="240" w:lineRule="auto"/>
            </w:pPr>
            <w:r>
              <w:t>68</w:t>
            </w:r>
          </w:p>
        </w:tc>
      </w:tr>
      <w:tr w:rsidR="0096514B" w14:paraId="3CE13122" w14:textId="77777777">
        <w:tc>
          <w:tcPr>
            <w:tcW w:w="2340" w:type="dxa"/>
            <w:shd w:val="clear" w:color="auto" w:fill="auto"/>
            <w:tcMar>
              <w:top w:w="100" w:type="dxa"/>
              <w:left w:w="100" w:type="dxa"/>
              <w:bottom w:w="100" w:type="dxa"/>
              <w:right w:w="100" w:type="dxa"/>
            </w:tcMar>
          </w:tcPr>
          <w:p w14:paraId="34EA9D2F" w14:textId="77777777" w:rsidR="0096514B" w:rsidRDefault="004C1C4F">
            <w:pPr>
              <w:widowControl w:val="0"/>
              <w:spacing w:line="240" w:lineRule="auto"/>
            </w:pPr>
            <w:r>
              <w:t>3</w:t>
            </w:r>
          </w:p>
        </w:tc>
        <w:tc>
          <w:tcPr>
            <w:tcW w:w="2340" w:type="dxa"/>
            <w:shd w:val="clear" w:color="auto" w:fill="auto"/>
            <w:tcMar>
              <w:top w:w="100" w:type="dxa"/>
              <w:left w:w="100" w:type="dxa"/>
              <w:bottom w:w="100" w:type="dxa"/>
              <w:right w:w="100" w:type="dxa"/>
            </w:tcMar>
          </w:tcPr>
          <w:p w14:paraId="279CE214" w14:textId="77777777" w:rsidR="0096514B" w:rsidRDefault="004C1C4F">
            <w:pPr>
              <w:widowControl w:val="0"/>
              <w:spacing w:line="240" w:lineRule="auto"/>
            </w:pPr>
            <w:r>
              <w:t>32</w:t>
            </w:r>
          </w:p>
        </w:tc>
        <w:tc>
          <w:tcPr>
            <w:tcW w:w="2340" w:type="dxa"/>
            <w:shd w:val="clear" w:color="auto" w:fill="auto"/>
            <w:tcMar>
              <w:top w:w="100" w:type="dxa"/>
              <w:left w:w="100" w:type="dxa"/>
              <w:bottom w:w="100" w:type="dxa"/>
              <w:right w:w="100" w:type="dxa"/>
            </w:tcMar>
          </w:tcPr>
          <w:p w14:paraId="4899D01D" w14:textId="77777777" w:rsidR="0096514B" w:rsidRDefault="004C1C4F">
            <w:pPr>
              <w:widowControl w:val="0"/>
              <w:spacing w:line="240" w:lineRule="auto"/>
            </w:pPr>
            <w:r>
              <w:t>10</w:t>
            </w:r>
          </w:p>
        </w:tc>
        <w:tc>
          <w:tcPr>
            <w:tcW w:w="2340" w:type="dxa"/>
            <w:shd w:val="clear" w:color="auto" w:fill="auto"/>
            <w:tcMar>
              <w:top w:w="100" w:type="dxa"/>
              <w:left w:w="100" w:type="dxa"/>
              <w:bottom w:w="100" w:type="dxa"/>
              <w:right w:w="100" w:type="dxa"/>
            </w:tcMar>
          </w:tcPr>
          <w:p w14:paraId="4FD1C0E0" w14:textId="77777777" w:rsidR="0096514B" w:rsidRDefault="004C1C4F">
            <w:pPr>
              <w:widowControl w:val="0"/>
              <w:spacing w:line="240" w:lineRule="auto"/>
            </w:pPr>
            <w:r>
              <w:t>59</w:t>
            </w:r>
          </w:p>
        </w:tc>
      </w:tr>
      <w:tr w:rsidR="0096514B" w14:paraId="437E0088" w14:textId="77777777">
        <w:tc>
          <w:tcPr>
            <w:tcW w:w="2340" w:type="dxa"/>
            <w:shd w:val="clear" w:color="auto" w:fill="auto"/>
            <w:tcMar>
              <w:top w:w="100" w:type="dxa"/>
              <w:left w:w="100" w:type="dxa"/>
              <w:bottom w:w="100" w:type="dxa"/>
              <w:right w:w="100" w:type="dxa"/>
            </w:tcMar>
          </w:tcPr>
          <w:p w14:paraId="2626C470" w14:textId="77777777" w:rsidR="0096514B" w:rsidRDefault="004C1C4F">
            <w:pPr>
              <w:widowControl w:val="0"/>
              <w:spacing w:line="240" w:lineRule="auto"/>
            </w:pPr>
            <w:r>
              <w:t>4</w:t>
            </w:r>
          </w:p>
        </w:tc>
        <w:tc>
          <w:tcPr>
            <w:tcW w:w="2340" w:type="dxa"/>
            <w:shd w:val="clear" w:color="auto" w:fill="auto"/>
            <w:tcMar>
              <w:top w:w="100" w:type="dxa"/>
              <w:left w:w="100" w:type="dxa"/>
              <w:bottom w:w="100" w:type="dxa"/>
              <w:right w:w="100" w:type="dxa"/>
            </w:tcMar>
          </w:tcPr>
          <w:p w14:paraId="384AC36C" w14:textId="77777777" w:rsidR="0096514B" w:rsidRDefault="004C1C4F">
            <w:pPr>
              <w:widowControl w:val="0"/>
              <w:spacing w:line="240" w:lineRule="auto"/>
            </w:pPr>
            <w:r>
              <w:t>34</w:t>
            </w:r>
          </w:p>
        </w:tc>
        <w:tc>
          <w:tcPr>
            <w:tcW w:w="2340" w:type="dxa"/>
            <w:shd w:val="clear" w:color="auto" w:fill="auto"/>
            <w:tcMar>
              <w:top w:w="100" w:type="dxa"/>
              <w:left w:w="100" w:type="dxa"/>
              <w:bottom w:w="100" w:type="dxa"/>
              <w:right w:w="100" w:type="dxa"/>
            </w:tcMar>
          </w:tcPr>
          <w:p w14:paraId="2737CBB2" w14:textId="77777777" w:rsidR="0096514B" w:rsidRDefault="004C1C4F">
            <w:pPr>
              <w:widowControl w:val="0"/>
              <w:spacing w:line="240" w:lineRule="auto"/>
            </w:pPr>
            <w:r>
              <w:t>11</w:t>
            </w:r>
          </w:p>
        </w:tc>
        <w:tc>
          <w:tcPr>
            <w:tcW w:w="2340" w:type="dxa"/>
            <w:shd w:val="clear" w:color="auto" w:fill="auto"/>
            <w:tcMar>
              <w:top w:w="100" w:type="dxa"/>
              <w:left w:w="100" w:type="dxa"/>
              <w:bottom w:w="100" w:type="dxa"/>
              <w:right w:w="100" w:type="dxa"/>
            </w:tcMar>
          </w:tcPr>
          <w:p w14:paraId="228E2DC1" w14:textId="77777777" w:rsidR="0096514B" w:rsidRDefault="004C1C4F">
            <w:pPr>
              <w:widowControl w:val="0"/>
              <w:spacing w:line="240" w:lineRule="auto"/>
            </w:pPr>
            <w:r>
              <w:t>68</w:t>
            </w:r>
          </w:p>
        </w:tc>
      </w:tr>
      <w:tr w:rsidR="0096514B" w14:paraId="2383B0E2" w14:textId="77777777">
        <w:tc>
          <w:tcPr>
            <w:tcW w:w="2340" w:type="dxa"/>
            <w:shd w:val="clear" w:color="auto" w:fill="auto"/>
            <w:tcMar>
              <w:top w:w="100" w:type="dxa"/>
              <w:left w:w="100" w:type="dxa"/>
              <w:bottom w:w="100" w:type="dxa"/>
              <w:right w:w="100" w:type="dxa"/>
            </w:tcMar>
          </w:tcPr>
          <w:p w14:paraId="53E73CD1" w14:textId="77777777" w:rsidR="0096514B" w:rsidRDefault="004C1C4F">
            <w:pPr>
              <w:widowControl w:val="0"/>
              <w:spacing w:line="240" w:lineRule="auto"/>
            </w:pPr>
            <w:r>
              <w:t>5</w:t>
            </w:r>
          </w:p>
        </w:tc>
        <w:tc>
          <w:tcPr>
            <w:tcW w:w="2340" w:type="dxa"/>
            <w:shd w:val="clear" w:color="auto" w:fill="auto"/>
            <w:tcMar>
              <w:top w:w="100" w:type="dxa"/>
              <w:left w:w="100" w:type="dxa"/>
              <w:bottom w:w="100" w:type="dxa"/>
              <w:right w:w="100" w:type="dxa"/>
            </w:tcMar>
          </w:tcPr>
          <w:p w14:paraId="69150ED7" w14:textId="77777777" w:rsidR="0096514B" w:rsidRDefault="004C1C4F">
            <w:pPr>
              <w:widowControl w:val="0"/>
              <w:spacing w:line="240" w:lineRule="auto"/>
            </w:pPr>
            <w:r>
              <w:t>39</w:t>
            </w:r>
          </w:p>
        </w:tc>
        <w:tc>
          <w:tcPr>
            <w:tcW w:w="2340" w:type="dxa"/>
            <w:shd w:val="clear" w:color="auto" w:fill="auto"/>
            <w:tcMar>
              <w:top w:w="100" w:type="dxa"/>
              <w:left w:w="100" w:type="dxa"/>
              <w:bottom w:w="100" w:type="dxa"/>
              <w:right w:w="100" w:type="dxa"/>
            </w:tcMar>
          </w:tcPr>
          <w:p w14:paraId="67E7440A" w14:textId="77777777" w:rsidR="0096514B" w:rsidRDefault="004C1C4F">
            <w:pPr>
              <w:widowControl w:val="0"/>
              <w:spacing w:line="240" w:lineRule="auto"/>
            </w:pPr>
            <w:r>
              <w:t>12</w:t>
            </w:r>
          </w:p>
        </w:tc>
        <w:tc>
          <w:tcPr>
            <w:tcW w:w="2340" w:type="dxa"/>
            <w:shd w:val="clear" w:color="auto" w:fill="auto"/>
            <w:tcMar>
              <w:top w:w="100" w:type="dxa"/>
              <w:left w:w="100" w:type="dxa"/>
              <w:bottom w:w="100" w:type="dxa"/>
              <w:right w:w="100" w:type="dxa"/>
            </w:tcMar>
          </w:tcPr>
          <w:p w14:paraId="2E2A3017" w14:textId="77777777" w:rsidR="0096514B" w:rsidRDefault="004C1C4F">
            <w:pPr>
              <w:widowControl w:val="0"/>
              <w:spacing w:line="240" w:lineRule="auto"/>
            </w:pPr>
            <w:r>
              <w:t>41</w:t>
            </w:r>
          </w:p>
        </w:tc>
      </w:tr>
      <w:tr w:rsidR="0096514B" w14:paraId="6430706B" w14:textId="77777777">
        <w:tc>
          <w:tcPr>
            <w:tcW w:w="2340" w:type="dxa"/>
            <w:shd w:val="clear" w:color="auto" w:fill="auto"/>
            <w:tcMar>
              <w:top w:w="100" w:type="dxa"/>
              <w:left w:w="100" w:type="dxa"/>
              <w:bottom w:w="100" w:type="dxa"/>
              <w:right w:w="100" w:type="dxa"/>
            </w:tcMar>
          </w:tcPr>
          <w:p w14:paraId="0E258F5E" w14:textId="77777777" w:rsidR="0096514B" w:rsidRDefault="004C1C4F">
            <w:pPr>
              <w:widowControl w:val="0"/>
              <w:spacing w:line="240" w:lineRule="auto"/>
            </w:pPr>
            <w:r>
              <w:t xml:space="preserve">Total </w:t>
            </w:r>
          </w:p>
        </w:tc>
        <w:tc>
          <w:tcPr>
            <w:tcW w:w="2340" w:type="dxa"/>
            <w:shd w:val="clear" w:color="auto" w:fill="auto"/>
            <w:tcMar>
              <w:top w:w="100" w:type="dxa"/>
              <w:left w:w="100" w:type="dxa"/>
              <w:bottom w:w="100" w:type="dxa"/>
              <w:right w:w="100" w:type="dxa"/>
            </w:tcMar>
          </w:tcPr>
          <w:p w14:paraId="51F9C4A4" w14:textId="77777777" w:rsidR="0096514B" w:rsidRDefault="004C1C4F">
            <w:pPr>
              <w:widowControl w:val="0"/>
              <w:spacing w:line="240" w:lineRule="auto"/>
              <w:rPr>
                <w:shd w:val="clear" w:color="auto" w:fill="FFD966"/>
              </w:rPr>
            </w:pPr>
            <w:r>
              <w:rPr>
                <w:shd w:val="clear" w:color="auto" w:fill="FFD966"/>
              </w:rPr>
              <w:t>270</w:t>
            </w:r>
          </w:p>
        </w:tc>
        <w:tc>
          <w:tcPr>
            <w:tcW w:w="2340" w:type="dxa"/>
            <w:shd w:val="clear" w:color="auto" w:fill="auto"/>
            <w:tcMar>
              <w:top w:w="100" w:type="dxa"/>
              <w:left w:w="100" w:type="dxa"/>
              <w:bottom w:w="100" w:type="dxa"/>
              <w:right w:w="100" w:type="dxa"/>
            </w:tcMar>
          </w:tcPr>
          <w:p w14:paraId="75F9A9F5" w14:textId="77777777" w:rsidR="0096514B" w:rsidRDefault="004C1C4F">
            <w:pPr>
              <w:widowControl w:val="0"/>
              <w:spacing w:line="240" w:lineRule="auto"/>
            </w:pPr>
            <w:r>
              <w:t>Total</w:t>
            </w:r>
          </w:p>
        </w:tc>
        <w:tc>
          <w:tcPr>
            <w:tcW w:w="2340" w:type="dxa"/>
            <w:shd w:val="clear" w:color="auto" w:fill="auto"/>
            <w:tcMar>
              <w:top w:w="100" w:type="dxa"/>
              <w:left w:w="100" w:type="dxa"/>
              <w:bottom w:w="100" w:type="dxa"/>
              <w:right w:w="100" w:type="dxa"/>
            </w:tcMar>
          </w:tcPr>
          <w:p w14:paraId="05FA08CE" w14:textId="77777777" w:rsidR="0096514B" w:rsidRDefault="004C1C4F">
            <w:pPr>
              <w:widowControl w:val="0"/>
              <w:spacing w:line="240" w:lineRule="auto"/>
              <w:rPr>
                <w:shd w:val="clear" w:color="auto" w:fill="FFD966"/>
              </w:rPr>
            </w:pPr>
            <w:r>
              <w:rPr>
                <w:shd w:val="clear" w:color="auto" w:fill="FFD966"/>
              </w:rPr>
              <w:t>351</w:t>
            </w:r>
          </w:p>
        </w:tc>
      </w:tr>
    </w:tbl>
    <w:p w14:paraId="3155B1CE" w14:textId="77777777" w:rsidR="0096514B" w:rsidRDefault="004C1C4F">
      <w:pPr>
        <w:jc w:val="center"/>
        <w:rPr>
          <w:shd w:val="clear" w:color="auto" w:fill="FFD966"/>
        </w:rPr>
      </w:pPr>
      <w:r>
        <w:rPr>
          <w:shd w:val="clear" w:color="auto" w:fill="FFD966"/>
        </w:rPr>
        <w:t>BISD Total Enrollment Preschool - 12th Grade: 621</w:t>
      </w:r>
    </w:p>
    <w:p w14:paraId="3F930C1F" w14:textId="77777777" w:rsidR="0096514B" w:rsidRDefault="0096514B">
      <w:pPr>
        <w:jc w:val="center"/>
        <w:rPr>
          <w:shd w:val="clear" w:color="auto" w:fill="FFD966"/>
        </w:rPr>
      </w:pPr>
    </w:p>
    <w:p w14:paraId="0744C467" w14:textId="77777777" w:rsidR="0096514B" w:rsidRDefault="004C1C4F">
      <w:pPr>
        <w:numPr>
          <w:ilvl w:val="0"/>
          <w:numId w:val="2"/>
        </w:numPr>
      </w:pPr>
      <w:r>
        <w:t xml:space="preserve">Online registration has been very active this summer.  We’ve had several new families join our district for the 2022-23 school year.  Enrollment is increasing daily.  We have several grade levels that have a waitlist right now for non-resident enrollment. </w:t>
      </w:r>
      <w:r>
        <w:t xml:space="preserve"> </w:t>
      </w:r>
    </w:p>
    <w:p w14:paraId="742F4D4D" w14:textId="77777777" w:rsidR="0096514B" w:rsidRDefault="004C1C4F">
      <w:pPr>
        <w:numPr>
          <w:ilvl w:val="0"/>
          <w:numId w:val="2"/>
        </w:numPr>
      </w:pPr>
      <w:r>
        <w:t>We will continue our attendance tracking protocol this school year with biweekly attendance meetings in each building.  During these meetings we will discuss student attendance and ways to provide necessary support interventions.</w:t>
      </w:r>
    </w:p>
    <w:p w14:paraId="55B5716A" w14:textId="77777777" w:rsidR="0096514B" w:rsidRDefault="0096514B"/>
    <w:p w14:paraId="2CCCE5D2" w14:textId="77777777" w:rsidR="0096514B" w:rsidRDefault="004C1C4F">
      <w:r>
        <w:t>District Assessment Coo</w:t>
      </w:r>
      <w:r>
        <w:t xml:space="preserve">rdinator </w:t>
      </w:r>
    </w:p>
    <w:p w14:paraId="4B997BDC" w14:textId="77777777" w:rsidR="0096514B" w:rsidRDefault="004C1C4F">
      <w:pPr>
        <w:numPr>
          <w:ilvl w:val="0"/>
          <w:numId w:val="1"/>
        </w:numPr>
      </w:pPr>
      <w:r>
        <w:t>The fall data review period is now open. I am working with building assessment coordinators to ensure our data is accurate before fall reporting.  This review allows districts a final opportunity to change individual student level data prior to public data</w:t>
      </w:r>
      <w:r>
        <w:t xml:space="preserve"> release.  </w:t>
      </w:r>
    </w:p>
    <w:p w14:paraId="5A318734" w14:textId="77777777" w:rsidR="0096514B" w:rsidRDefault="004C1C4F">
      <w:pPr>
        <w:numPr>
          <w:ilvl w:val="0"/>
          <w:numId w:val="1"/>
        </w:numPr>
      </w:pPr>
      <w:r>
        <w:t xml:space="preserve">We are finalizing the district assessment calendar to ensure successful implementation districtwide. We will begin Kindergarten Brigance screening and MAP assessments in the next few weeks. </w:t>
      </w:r>
    </w:p>
    <w:p w14:paraId="391CBF64" w14:textId="77777777" w:rsidR="0096514B" w:rsidRDefault="004C1C4F">
      <w:pPr>
        <w:numPr>
          <w:ilvl w:val="0"/>
          <w:numId w:val="1"/>
        </w:numPr>
        <w:rPr>
          <w:sz w:val="20"/>
          <w:szCs w:val="20"/>
        </w:rPr>
      </w:pPr>
      <w:r>
        <w:t>The data verification is now active in the Kentucky S</w:t>
      </w:r>
      <w:r>
        <w:t xml:space="preserve">chool Report Card (SRC) Data Approval Tool.  Public release for the School Report Card is scheduled for mid-October.  </w:t>
      </w:r>
    </w:p>
    <w:p w14:paraId="1EE72F94" w14:textId="77777777" w:rsidR="0096514B" w:rsidRDefault="0096514B"/>
    <w:sectPr w:rsidR="009651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83C44"/>
    <w:multiLevelType w:val="multilevel"/>
    <w:tmpl w:val="822E7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7E7CCD"/>
    <w:multiLevelType w:val="multilevel"/>
    <w:tmpl w:val="3766A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4B"/>
    <w:rsid w:val="004C1C4F"/>
    <w:rsid w:val="0096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D77D"/>
  <w15:docId w15:val="{8B0DF214-4574-4C86-9CB6-41908C85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BBEB58-FBA1-4FD7-84EC-3D6262339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B4188-D04B-4534-979B-25748AB8F2ED}">
  <ds:schemaRefs>
    <ds:schemaRef ds:uri="http://schemas.microsoft.com/sharepoint/v3/contenttype/forms"/>
  </ds:schemaRefs>
</ds:datastoreItem>
</file>

<file path=customXml/itemProps3.xml><?xml version="1.0" encoding="utf-8"?>
<ds:datastoreItem xmlns:ds="http://schemas.openxmlformats.org/officeDocument/2006/customXml" ds:itemID="{1D2D95BF-69D9-417B-8570-937E3209D65B}">
  <ds:schemaRefs>
    <ds:schemaRef ds:uri="http://schemas.openxmlformats.org/package/2006/metadata/core-properti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dba9d881-5f3a-40f9-a9a7-00e960d0e466"/>
    <ds:schemaRef ds:uri="94627f6b-45aa-4f11-bbeb-ed362698226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Fardo, Renee</dc:creator>
  <cp:lastModifiedBy>Fardo, Renee</cp:lastModifiedBy>
  <cp:revision>2</cp:revision>
  <dcterms:created xsi:type="dcterms:W3CDTF">2022-08-19T19:15:00Z</dcterms:created>
  <dcterms:modified xsi:type="dcterms:W3CDTF">2022-08-19T19:15:00Z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