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77D9DD9E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7812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38E081BC" w:rsidR="006F0552" w:rsidRPr="00716300" w:rsidRDefault="00CA7812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Transportation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195A60E0" w:rsidR="00DE0B82" w:rsidRPr="00716300" w:rsidRDefault="00CA781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St. Henry High School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42C4966E" w:rsidR="00DE0B82" w:rsidRPr="00716300" w:rsidRDefault="00CA7812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Bus Request to Potter’s Ranch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166AF989" w:rsidR="008A2749" w:rsidRPr="008A2749" w:rsidRDefault="00CA781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8/31/2022 and 9/1/2022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1E996DBE" w:rsidR="00D072A8" w:rsidRPr="00DE0B82" w:rsidRDefault="00CA7812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05.3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42B11318" w:rsidR="00D072A8" w:rsidRPr="006F0552" w:rsidRDefault="00CA7812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Bus Request from St. Henry High School to Potter’s Ranch on 8/31/2022 and 9/1/2022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2D5457AC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02A3452C" w:rsidR="00DE0B82" w:rsidRDefault="00CA781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34FC1C77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CA7812">
            <w:rPr>
              <w:rFonts w:asciiTheme="minorHAnsi" w:hAnsiTheme="minorHAnsi" w:cstheme="minorHAnsi"/>
            </w:rPr>
            <w:t>Bus Request with Boone County Transportation and St. Henry High School,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3F40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A7812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2022-06-23T15:02:00Z</cp:lastPrinted>
  <dcterms:created xsi:type="dcterms:W3CDTF">2022-06-23T14:58:00Z</dcterms:created>
  <dcterms:modified xsi:type="dcterms:W3CDTF">2022-06-23T15:02:00Z</dcterms:modified>
</cp:coreProperties>
</file>