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88" w:rsidRPr="00074E5C" w:rsidRDefault="00D90B75" w:rsidP="00D90B75">
      <w:pPr>
        <w:spacing w:after="0"/>
        <w:jc w:val="center"/>
        <w:rPr>
          <w:b/>
        </w:rPr>
      </w:pPr>
      <w:bookmarkStart w:id="0" w:name="_GoBack"/>
      <w:bookmarkEnd w:id="0"/>
      <w:r w:rsidRPr="00074E5C">
        <w:rPr>
          <w:b/>
        </w:rPr>
        <w:t>Tentative Budget Highlights</w:t>
      </w:r>
    </w:p>
    <w:p w:rsidR="00D90B75" w:rsidRPr="00074E5C" w:rsidRDefault="00D90B75" w:rsidP="00D90B75">
      <w:pPr>
        <w:spacing w:after="0"/>
        <w:jc w:val="center"/>
        <w:rPr>
          <w:b/>
        </w:rPr>
      </w:pPr>
      <w:r w:rsidRPr="00074E5C">
        <w:rPr>
          <w:b/>
        </w:rPr>
        <w:t>FY 2022/2023</w:t>
      </w:r>
    </w:p>
    <w:p w:rsidR="00D90B75" w:rsidRDefault="00D90B75" w:rsidP="00D90B75">
      <w:pPr>
        <w:spacing w:after="0"/>
      </w:pPr>
    </w:p>
    <w:p w:rsidR="00D90B75" w:rsidRPr="00D90B75" w:rsidRDefault="00D90B75" w:rsidP="00D034AB">
      <w:pPr>
        <w:spacing w:after="120"/>
        <w:rPr>
          <w:b/>
          <w:i/>
        </w:rPr>
      </w:pPr>
      <w:r w:rsidRPr="00D90B75">
        <w:rPr>
          <w:b/>
          <w:i/>
        </w:rPr>
        <w:t xml:space="preserve">What </w:t>
      </w:r>
      <w:r w:rsidR="00074E5C">
        <w:rPr>
          <w:b/>
          <w:i/>
        </w:rPr>
        <w:t>HAS</w:t>
      </w:r>
      <w:r w:rsidRPr="00D90B75">
        <w:rPr>
          <w:b/>
          <w:i/>
        </w:rPr>
        <w:t xml:space="preserve"> NOT changed since the Draft Budget in January?</w:t>
      </w:r>
    </w:p>
    <w:p w:rsidR="00D90B75" w:rsidRDefault="00D90B75" w:rsidP="00D034AB">
      <w:pPr>
        <w:pStyle w:val="ListParagraph"/>
        <w:numPr>
          <w:ilvl w:val="0"/>
          <w:numId w:val="1"/>
        </w:numPr>
        <w:spacing w:after="120"/>
        <w:contextualSpacing w:val="0"/>
      </w:pPr>
      <w:r w:rsidRPr="00D90B75">
        <w:rPr>
          <w:u w:val="single"/>
        </w:rPr>
        <w:t>Salary increases:</w:t>
      </w:r>
      <w:r>
        <w:t xml:space="preserve"> Changes recommended in this Board meeting have not yet been considered by the Board so they are not reflected in the budget. The exceptions are step increases due to years of experience, as well as rank changes.</w:t>
      </w:r>
    </w:p>
    <w:p w:rsidR="00515DF5" w:rsidRDefault="00D90B75" w:rsidP="00D034AB">
      <w:pPr>
        <w:pStyle w:val="ListParagraph"/>
        <w:numPr>
          <w:ilvl w:val="0"/>
          <w:numId w:val="1"/>
        </w:numPr>
        <w:spacing w:after="120"/>
        <w:contextualSpacing w:val="0"/>
      </w:pPr>
      <w:r>
        <w:rPr>
          <w:u w:val="single"/>
        </w:rPr>
        <w:t>Grant amounts:</w:t>
      </w:r>
      <w:r>
        <w:t xml:space="preserve"> </w:t>
      </w:r>
      <w:r w:rsidR="00074E5C">
        <w:t>Most grant awards have not yet been communicated to districts, but we know from past experience (e.g., Title I) or from the state budget that the district will receive funding next year. These grants have been rolled forward from the current year with no revisions.</w:t>
      </w:r>
    </w:p>
    <w:p w:rsidR="00D90B75" w:rsidRDefault="00D90B75" w:rsidP="00D034AB">
      <w:pPr>
        <w:spacing w:after="120"/>
      </w:pPr>
    </w:p>
    <w:p w:rsidR="00D90B75" w:rsidRPr="00074E5C" w:rsidRDefault="00074E5C" w:rsidP="00D034AB">
      <w:pPr>
        <w:spacing w:after="120"/>
        <w:rPr>
          <w:b/>
          <w:i/>
        </w:rPr>
      </w:pPr>
      <w:r>
        <w:rPr>
          <w:b/>
          <w:i/>
        </w:rPr>
        <w:t>What HAS changed since the Draft Budget?</w:t>
      </w:r>
    </w:p>
    <w:p w:rsidR="007857E4" w:rsidRPr="007857E4" w:rsidRDefault="007857E4" w:rsidP="00D034AB">
      <w:pPr>
        <w:pStyle w:val="ListParagraph"/>
        <w:numPr>
          <w:ilvl w:val="0"/>
          <w:numId w:val="1"/>
        </w:numPr>
        <w:spacing w:after="120"/>
        <w:contextualSpacing w:val="0"/>
      </w:pPr>
      <w:r>
        <w:rPr>
          <w:u w:val="single"/>
        </w:rPr>
        <w:t>Federal Funds:</w:t>
      </w:r>
      <w:r>
        <w:t xml:space="preserve"> New ESSER funds are not coming to district next year. Funds remain from previous awards and will continue to have an impact into the future.</w:t>
      </w:r>
    </w:p>
    <w:p w:rsidR="00D90B75" w:rsidRDefault="007857E4" w:rsidP="00D034AB">
      <w:pPr>
        <w:pStyle w:val="ListParagraph"/>
        <w:numPr>
          <w:ilvl w:val="0"/>
          <w:numId w:val="1"/>
        </w:numPr>
        <w:spacing w:after="120"/>
        <w:contextualSpacing w:val="0"/>
      </w:pPr>
      <w:r>
        <w:rPr>
          <w:u w:val="single"/>
        </w:rPr>
        <w:t>P</w:t>
      </w:r>
      <w:r w:rsidR="00D90B75">
        <w:rPr>
          <w:u w:val="single"/>
        </w:rPr>
        <w:t>ersonnel changes:</w:t>
      </w:r>
      <w:r w:rsidR="00D90B75">
        <w:t xml:space="preserve"> </w:t>
      </w:r>
      <w:r w:rsidR="00234A10">
        <w:t>Employees who have announced their retirement or resignation have been replaced with a reasonable cost projection (i.e., generally it would be less for a retirement). Also, new or eliminated positions approved by the Board during the year have been reflected.</w:t>
      </w:r>
    </w:p>
    <w:p w:rsidR="00234A10" w:rsidRDefault="00234A10" w:rsidP="00D034AB">
      <w:pPr>
        <w:pStyle w:val="ListParagraph"/>
        <w:numPr>
          <w:ilvl w:val="0"/>
          <w:numId w:val="1"/>
        </w:numPr>
        <w:spacing w:after="120"/>
        <w:contextualSpacing w:val="0"/>
      </w:pPr>
      <w:r>
        <w:rPr>
          <w:u w:val="single"/>
        </w:rPr>
        <w:t>Benefit changes:</w:t>
      </w:r>
      <w:r>
        <w:t xml:space="preserve"> The only employee benefit change is a very slight decrease in the contribution rate for CERS (classified retirement), which we anticipated increasing.</w:t>
      </w:r>
    </w:p>
    <w:p w:rsidR="00234A10" w:rsidRDefault="00234A10" w:rsidP="00D034AB">
      <w:pPr>
        <w:pStyle w:val="ListParagraph"/>
        <w:numPr>
          <w:ilvl w:val="0"/>
          <w:numId w:val="1"/>
        </w:numPr>
        <w:spacing w:after="120"/>
        <w:contextualSpacing w:val="0"/>
      </w:pPr>
      <w:r>
        <w:rPr>
          <w:u w:val="single"/>
        </w:rPr>
        <w:t>Section 6:</w:t>
      </w:r>
      <w:r>
        <w:t xml:space="preserve"> The allocation made by the Board to schools (commonly called the supply allocation) has been reflected in accordance with the budgets submitted by each school.</w:t>
      </w:r>
    </w:p>
    <w:p w:rsidR="00234A10" w:rsidRDefault="00234A10" w:rsidP="00D034AB">
      <w:pPr>
        <w:pStyle w:val="ListParagraph"/>
        <w:numPr>
          <w:ilvl w:val="0"/>
          <w:numId w:val="1"/>
        </w:numPr>
        <w:spacing w:after="120"/>
        <w:contextualSpacing w:val="0"/>
      </w:pPr>
      <w:r>
        <w:rPr>
          <w:u w:val="single"/>
        </w:rPr>
        <w:t>Debt:</w:t>
      </w:r>
      <w:r>
        <w:t xml:space="preserve"> Bonds and KISTA payments (buses) for next year have been updated to actual amounts that will be paid.</w:t>
      </w:r>
    </w:p>
    <w:p w:rsidR="00515DF5" w:rsidRDefault="00515DF5" w:rsidP="00D034AB">
      <w:pPr>
        <w:pStyle w:val="ListParagraph"/>
        <w:numPr>
          <w:ilvl w:val="0"/>
          <w:numId w:val="1"/>
        </w:numPr>
        <w:spacing w:after="120"/>
        <w:contextualSpacing w:val="0"/>
      </w:pPr>
      <w:r>
        <w:rPr>
          <w:u w:val="single"/>
        </w:rPr>
        <w:t>Expenses</w:t>
      </w:r>
      <w:proofErr w:type="gramStart"/>
      <w:r>
        <w:rPr>
          <w:u w:val="single"/>
        </w:rPr>
        <w:t>!:</w:t>
      </w:r>
      <w:proofErr w:type="gramEnd"/>
      <w:r>
        <w:t xml:space="preserve"> Overall inflation is close to 8% but inflation and other factors affect expenses to very different degrees. Higher costs have been estimated in numerous areas based on the best estimates that could be found. These costs are reflected </w:t>
      </w:r>
      <w:r w:rsidR="00D034AB">
        <w:t>in the budget with</w:t>
      </w:r>
      <w:r>
        <w:t xml:space="preserve"> increases of:</w:t>
      </w:r>
    </w:p>
    <w:tbl>
      <w:tblPr>
        <w:tblStyle w:val="TableGrid"/>
        <w:tblW w:w="0" w:type="auto"/>
        <w:tblInd w:w="1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810"/>
        <w:gridCol w:w="2430"/>
        <w:gridCol w:w="812"/>
      </w:tblGrid>
      <w:tr w:rsidR="00515DF5" w:rsidTr="00D034AB">
        <w:tc>
          <w:tcPr>
            <w:tcW w:w="2965" w:type="dxa"/>
          </w:tcPr>
          <w:p w:rsidR="00515DF5" w:rsidRPr="00515DF5" w:rsidRDefault="00515DF5" w:rsidP="00D034AB">
            <w:pPr>
              <w:pStyle w:val="ListParagraph"/>
              <w:spacing w:after="120"/>
              <w:ind w:left="0"/>
              <w:contextualSpacing w:val="0"/>
            </w:pPr>
            <w:r>
              <w:t>Fuel (diesel and gasoline)</w:t>
            </w:r>
          </w:p>
        </w:tc>
        <w:tc>
          <w:tcPr>
            <w:tcW w:w="810" w:type="dxa"/>
          </w:tcPr>
          <w:p w:rsidR="00515DF5" w:rsidRPr="00515DF5" w:rsidRDefault="00515DF5" w:rsidP="00D034AB">
            <w:pPr>
              <w:pStyle w:val="ListParagraph"/>
              <w:spacing w:after="120"/>
              <w:ind w:left="0"/>
              <w:contextualSpacing w:val="0"/>
            </w:pPr>
            <w:r>
              <w:t>+40%</w:t>
            </w:r>
          </w:p>
        </w:tc>
        <w:tc>
          <w:tcPr>
            <w:tcW w:w="2430" w:type="dxa"/>
          </w:tcPr>
          <w:p w:rsidR="00515DF5" w:rsidRPr="00515DF5" w:rsidRDefault="00515DF5" w:rsidP="00D034AB">
            <w:pPr>
              <w:pStyle w:val="ListParagraph"/>
              <w:spacing w:after="120"/>
              <w:ind w:left="0"/>
              <w:contextualSpacing w:val="0"/>
            </w:pPr>
            <w:r>
              <w:t>Paper</w:t>
            </w:r>
          </w:p>
        </w:tc>
        <w:tc>
          <w:tcPr>
            <w:tcW w:w="812" w:type="dxa"/>
          </w:tcPr>
          <w:p w:rsidR="00515DF5" w:rsidRPr="00515DF5" w:rsidRDefault="00515DF5" w:rsidP="00D034AB">
            <w:pPr>
              <w:pStyle w:val="ListParagraph"/>
              <w:spacing w:after="120"/>
              <w:ind w:left="0"/>
              <w:contextualSpacing w:val="0"/>
            </w:pPr>
            <w:r>
              <w:t>+65%</w:t>
            </w:r>
          </w:p>
        </w:tc>
      </w:tr>
      <w:tr w:rsidR="00515DF5" w:rsidTr="00D034AB">
        <w:tc>
          <w:tcPr>
            <w:tcW w:w="2965" w:type="dxa"/>
          </w:tcPr>
          <w:p w:rsidR="00515DF5" w:rsidRPr="00515DF5" w:rsidRDefault="00515DF5" w:rsidP="00D034AB">
            <w:pPr>
              <w:pStyle w:val="ListParagraph"/>
              <w:spacing w:after="120"/>
              <w:ind w:left="0"/>
              <w:contextualSpacing w:val="0"/>
            </w:pPr>
            <w:r>
              <w:t>Propane</w:t>
            </w:r>
          </w:p>
        </w:tc>
        <w:tc>
          <w:tcPr>
            <w:tcW w:w="810" w:type="dxa"/>
          </w:tcPr>
          <w:p w:rsidR="00515DF5" w:rsidRPr="00515DF5" w:rsidRDefault="00515DF5" w:rsidP="00D034AB">
            <w:pPr>
              <w:pStyle w:val="ListParagraph"/>
              <w:spacing w:after="120"/>
              <w:ind w:left="0"/>
              <w:contextualSpacing w:val="0"/>
            </w:pPr>
            <w:r>
              <w:t>+40%</w:t>
            </w:r>
          </w:p>
        </w:tc>
        <w:tc>
          <w:tcPr>
            <w:tcW w:w="2430" w:type="dxa"/>
          </w:tcPr>
          <w:p w:rsidR="00515DF5" w:rsidRPr="00515DF5" w:rsidRDefault="00515DF5" w:rsidP="00D034AB">
            <w:pPr>
              <w:pStyle w:val="ListParagraph"/>
              <w:spacing w:after="120"/>
              <w:ind w:left="0"/>
              <w:contextualSpacing w:val="0"/>
            </w:pPr>
            <w:r>
              <w:t>Insurance (all lines)</w:t>
            </w:r>
          </w:p>
        </w:tc>
        <w:tc>
          <w:tcPr>
            <w:tcW w:w="812" w:type="dxa"/>
          </w:tcPr>
          <w:p w:rsidR="00515DF5" w:rsidRPr="00515DF5" w:rsidRDefault="00515DF5" w:rsidP="00D034AB">
            <w:pPr>
              <w:pStyle w:val="ListParagraph"/>
              <w:spacing w:after="120"/>
              <w:ind w:left="0"/>
              <w:contextualSpacing w:val="0"/>
            </w:pPr>
            <w:r>
              <w:t>+10%</w:t>
            </w:r>
          </w:p>
        </w:tc>
      </w:tr>
      <w:tr w:rsidR="00515DF5" w:rsidTr="00D034AB">
        <w:tc>
          <w:tcPr>
            <w:tcW w:w="2965" w:type="dxa"/>
          </w:tcPr>
          <w:p w:rsidR="00515DF5" w:rsidRPr="00515DF5" w:rsidRDefault="00515DF5" w:rsidP="00D034AB">
            <w:pPr>
              <w:pStyle w:val="ListParagraph"/>
              <w:spacing w:after="120"/>
              <w:ind w:left="0"/>
              <w:contextualSpacing w:val="0"/>
            </w:pPr>
            <w:r>
              <w:t>Food</w:t>
            </w:r>
          </w:p>
        </w:tc>
        <w:tc>
          <w:tcPr>
            <w:tcW w:w="810" w:type="dxa"/>
          </w:tcPr>
          <w:p w:rsidR="00515DF5" w:rsidRPr="00515DF5" w:rsidRDefault="00515DF5" w:rsidP="00D034AB">
            <w:pPr>
              <w:pStyle w:val="ListParagraph"/>
              <w:spacing w:after="120"/>
              <w:ind w:left="0"/>
              <w:contextualSpacing w:val="0"/>
            </w:pPr>
            <w:r>
              <w:t>+10%</w:t>
            </w:r>
          </w:p>
        </w:tc>
        <w:tc>
          <w:tcPr>
            <w:tcW w:w="2430" w:type="dxa"/>
          </w:tcPr>
          <w:p w:rsidR="00515DF5" w:rsidRPr="00515DF5" w:rsidRDefault="00515DF5" w:rsidP="00D034AB">
            <w:pPr>
              <w:pStyle w:val="ListParagraph"/>
              <w:spacing w:after="120"/>
              <w:ind w:left="0"/>
              <w:contextualSpacing w:val="0"/>
            </w:pPr>
            <w:r>
              <w:t>Electricity</w:t>
            </w:r>
          </w:p>
        </w:tc>
        <w:tc>
          <w:tcPr>
            <w:tcW w:w="812" w:type="dxa"/>
          </w:tcPr>
          <w:p w:rsidR="00515DF5" w:rsidRPr="00515DF5" w:rsidRDefault="00515DF5" w:rsidP="00D034AB">
            <w:pPr>
              <w:pStyle w:val="ListParagraph"/>
              <w:spacing w:after="120"/>
              <w:ind w:left="0"/>
              <w:contextualSpacing w:val="0"/>
            </w:pPr>
            <w:r>
              <w:t>+11%</w:t>
            </w:r>
          </w:p>
        </w:tc>
      </w:tr>
      <w:tr w:rsidR="00515DF5" w:rsidTr="00D034AB">
        <w:tc>
          <w:tcPr>
            <w:tcW w:w="2965" w:type="dxa"/>
          </w:tcPr>
          <w:p w:rsidR="00515DF5" w:rsidRPr="00515DF5" w:rsidRDefault="00515DF5" w:rsidP="00D034AB">
            <w:pPr>
              <w:pStyle w:val="ListParagraph"/>
              <w:spacing w:after="120"/>
              <w:ind w:left="0"/>
              <w:contextualSpacing w:val="0"/>
            </w:pPr>
            <w:r>
              <w:t>Non-food</w:t>
            </w:r>
          </w:p>
        </w:tc>
        <w:tc>
          <w:tcPr>
            <w:tcW w:w="810" w:type="dxa"/>
          </w:tcPr>
          <w:p w:rsidR="00515DF5" w:rsidRPr="00515DF5" w:rsidRDefault="00515DF5" w:rsidP="00D034AB">
            <w:pPr>
              <w:pStyle w:val="ListParagraph"/>
              <w:spacing w:after="120"/>
              <w:ind w:left="0"/>
              <w:contextualSpacing w:val="0"/>
            </w:pPr>
            <w:r>
              <w:t>+6%</w:t>
            </w:r>
          </w:p>
        </w:tc>
        <w:tc>
          <w:tcPr>
            <w:tcW w:w="2430" w:type="dxa"/>
          </w:tcPr>
          <w:p w:rsidR="00515DF5" w:rsidRPr="00515DF5" w:rsidRDefault="00515DF5" w:rsidP="00D034AB">
            <w:pPr>
              <w:pStyle w:val="ListParagraph"/>
              <w:spacing w:after="120"/>
              <w:ind w:left="0"/>
              <w:contextualSpacing w:val="0"/>
            </w:pPr>
            <w:r>
              <w:t>Tires</w:t>
            </w:r>
          </w:p>
        </w:tc>
        <w:tc>
          <w:tcPr>
            <w:tcW w:w="812" w:type="dxa"/>
          </w:tcPr>
          <w:p w:rsidR="00515DF5" w:rsidRPr="00515DF5" w:rsidRDefault="00515DF5" w:rsidP="00D034AB">
            <w:pPr>
              <w:pStyle w:val="ListParagraph"/>
              <w:spacing w:after="120"/>
              <w:ind w:left="0"/>
              <w:contextualSpacing w:val="0"/>
            </w:pPr>
            <w:r>
              <w:t>+20%</w:t>
            </w:r>
          </w:p>
        </w:tc>
      </w:tr>
    </w:tbl>
    <w:p w:rsidR="00074E5C" w:rsidRDefault="00074E5C" w:rsidP="00D034AB">
      <w:pPr>
        <w:pStyle w:val="ListParagraph"/>
        <w:numPr>
          <w:ilvl w:val="0"/>
          <w:numId w:val="1"/>
        </w:numPr>
        <w:spacing w:after="120"/>
        <w:contextualSpacing w:val="0"/>
      </w:pPr>
      <w:r w:rsidRPr="00D034AB">
        <w:rPr>
          <w:u w:val="single"/>
        </w:rPr>
        <w:t>Food service supports:</w:t>
      </w:r>
      <w:r>
        <w:t xml:space="preserve"> The cost of meals will no longer be reimbursed to the district</w:t>
      </w:r>
      <w:r w:rsidR="00D034AB">
        <w:t>, so that revenue is not included in the budget while an estimate of previous revenue sources is included</w:t>
      </w:r>
      <w:r w:rsidR="00234A10">
        <w:t>.</w:t>
      </w:r>
    </w:p>
    <w:p w:rsidR="00D034AB" w:rsidRDefault="00D034AB" w:rsidP="00D034AB">
      <w:pPr>
        <w:pStyle w:val="ListParagraph"/>
        <w:numPr>
          <w:ilvl w:val="0"/>
          <w:numId w:val="1"/>
        </w:numPr>
        <w:spacing w:after="120"/>
        <w:contextualSpacing w:val="0"/>
      </w:pPr>
      <w:r>
        <w:rPr>
          <w:u w:val="single"/>
        </w:rPr>
        <w:t>Transfers:</w:t>
      </w:r>
      <w:r>
        <w:t xml:space="preserve"> Fund transfers, such as from the Building Fund to the Debt Service Fund, have been updated in the budget.</w:t>
      </w:r>
    </w:p>
    <w:p w:rsidR="00D034AB" w:rsidRDefault="00D034AB" w:rsidP="00D034AB">
      <w:pPr>
        <w:pStyle w:val="ListParagraph"/>
        <w:numPr>
          <w:ilvl w:val="0"/>
          <w:numId w:val="1"/>
        </w:numPr>
        <w:spacing w:after="120"/>
        <w:contextualSpacing w:val="0"/>
      </w:pPr>
      <w:r>
        <w:rPr>
          <w:u w:val="single"/>
        </w:rPr>
        <w:t>Beginning Balances:</w:t>
      </w:r>
      <w:r>
        <w:t xml:space="preserve"> The ending balances from the current year have been estimated and the budget now reflects those as beginning balances.</w:t>
      </w:r>
    </w:p>
    <w:p w:rsidR="00D13DB4" w:rsidRDefault="00D034AB" w:rsidP="00D13DB4">
      <w:pPr>
        <w:pStyle w:val="ListParagraph"/>
        <w:numPr>
          <w:ilvl w:val="0"/>
          <w:numId w:val="1"/>
        </w:numPr>
        <w:spacing w:after="0"/>
        <w:contextualSpacing w:val="0"/>
      </w:pPr>
      <w:r w:rsidRPr="00D13DB4">
        <w:rPr>
          <w:u w:val="single"/>
        </w:rPr>
        <w:t>Contingency:</w:t>
      </w:r>
      <w:r>
        <w:t xml:space="preserve"> When budgeted revenues and expenses are determined, what is left is Contingency. The </w:t>
      </w:r>
      <w:r w:rsidR="00D13DB4">
        <w:t xml:space="preserve">estimated </w:t>
      </w:r>
      <w:r>
        <w:t xml:space="preserve">Contingency </w:t>
      </w:r>
      <w:r w:rsidR="00D13DB4">
        <w:t>is 12.6%.</w:t>
      </w:r>
    </w:p>
    <w:p w:rsidR="00D90B75" w:rsidRDefault="00D90B75" w:rsidP="00D90B75">
      <w:pPr>
        <w:spacing w:after="0"/>
      </w:pPr>
    </w:p>
    <w:sectPr w:rsidR="00D9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405"/>
    <w:multiLevelType w:val="hybridMultilevel"/>
    <w:tmpl w:val="EB641A00"/>
    <w:lvl w:ilvl="0" w:tplc="7C7C28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75"/>
    <w:rsid w:val="00074E5C"/>
    <w:rsid w:val="00234A10"/>
    <w:rsid w:val="003375AD"/>
    <w:rsid w:val="00515DF5"/>
    <w:rsid w:val="006A2088"/>
    <w:rsid w:val="007857E4"/>
    <w:rsid w:val="00D034AB"/>
    <w:rsid w:val="00D13DB4"/>
    <w:rsid w:val="00D74F51"/>
    <w:rsid w:val="00D9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F91F-79F2-464C-8161-566C798E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75"/>
    <w:pPr>
      <w:ind w:left="720"/>
      <w:contextualSpacing/>
    </w:pPr>
  </w:style>
  <w:style w:type="table" w:styleId="TableGrid">
    <w:name w:val="Table Grid"/>
    <w:basedOn w:val="TableNormal"/>
    <w:uiPriority w:val="39"/>
    <w:rsid w:val="0051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Murphy</dc:creator>
  <cp:keywords/>
  <dc:description/>
  <cp:lastModifiedBy>Barlow, Michele</cp:lastModifiedBy>
  <cp:revision>2</cp:revision>
  <cp:lastPrinted>2022-05-21T11:39:00Z</cp:lastPrinted>
  <dcterms:created xsi:type="dcterms:W3CDTF">2022-05-21T13:14:00Z</dcterms:created>
  <dcterms:modified xsi:type="dcterms:W3CDTF">2022-05-21T13:14:00Z</dcterms:modified>
</cp:coreProperties>
</file>