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accordance with Board Policy 09.36, the following school-related trips were approved by the Superintendent to use common carriers for the transportation of students and/or overnight trips. Each one was considered individually and the reasons to justify the use of a common carrier in each case were: distance of the trip, maintenance of the school bus due to wear and tear, fuel costs and consumption, and availability of bus drivers.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March 22, 2022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Lindeman Elementary School</w:t>
        <w:tab/>
        <w:t xml:space="preserve">Boone Co. 4H Environmental and Nature Center</w:t>
        <w:tab/>
        <w:t xml:space="preserve">Common Carrier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April 15, 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Miles Elementary School</w:t>
        <w:tab/>
        <w:tab/>
        <w:t xml:space="preserve">Boone Co. 4H Environmental and Nature Center</w:t>
        <w:tab/>
        <w:t xml:space="preserve">Common Carrier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TRANSPORTATION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