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In accordance with Board Policy 09.36, the following school-related trips were approved by the Superintendent to use common carriers for the transportation of students and/or overnight trips. Each one was considered individually and the reasons to justify the use of a common carrier in each case were: distance of the trip, maintenance of the school bus due to wear and tear, fuel costs and consumption, and availability of bus drivers.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November 23, 2021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Bartlett Educational Center</w:t>
        <w:tab/>
        <w:t xml:space="preserve">Gateway Community and Technical College</w:t>
        <w:tab/>
        <w:tab/>
        <w:t xml:space="preserve">Common Carrier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December 16, 2021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Arnett Elementary School</w:t>
        <w:tab/>
        <w:t xml:space="preserve">Contemporary Arts Center</w:t>
        <w:tab/>
        <w:t xml:space="preserve">Common Carrier (through CAC)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TRANSPORTATION REPORT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