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62E7">
            <w:rPr>
              <w:rFonts w:asciiTheme="minorHAnsi" w:hAnsiTheme="minorHAnsi" w:cstheme="minorHAnsi"/>
            </w:rPr>
            <w:t>12/7/2021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C62E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Superintendent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C62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Strauss Troy Fee Agreement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90C2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Beginning December 3,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C62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Retaining Outside Counsel for Collection of Occupational Taxes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C62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$295.00 per hour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C62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A4D0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</w:t>
          </w:r>
          <w:r w:rsidR="00CC62E7">
            <w:rPr>
              <w:rFonts w:cstheme="minorHAnsi"/>
            </w:rPr>
            <w:t>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CC62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accept Claire Parsons, Board Attorney, recommendation </w:t>
          </w:r>
          <w:r w:rsidR="002A4D0A">
            <w:rPr>
              <w:rFonts w:asciiTheme="minorHAnsi" w:hAnsiTheme="minorHAnsi" w:cstheme="minorHAnsi"/>
            </w:rPr>
            <w:t xml:space="preserve">to retain services with Strauss Troy of Joy Hall Esq., to pursue the collection of occupational taxes from General Electric Engine Services Distribution, LLC,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A4D0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Turner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A4D0A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2E7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0C2F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2C4CC0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F6FC-D048-4C58-A068-1DF5D04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3</cp:revision>
  <cp:lastPrinted>2021-03-03T22:03:00Z</cp:lastPrinted>
  <dcterms:created xsi:type="dcterms:W3CDTF">2021-12-07T16:11:00Z</dcterms:created>
  <dcterms:modified xsi:type="dcterms:W3CDTF">2021-12-07T16:57:00Z</dcterms:modified>
</cp:coreProperties>
</file>