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48" w:rsidRDefault="00373548" w:rsidP="00373548">
      <w:pPr>
        <w:jc w:val="center"/>
        <w:rPr>
          <w:b/>
          <w:u w:val="single"/>
        </w:rPr>
      </w:pPr>
      <w:r>
        <w:rPr>
          <w:b/>
          <w:u w:val="single"/>
        </w:rPr>
        <w:t>Graduate Outlook/Student Progression</w:t>
      </w:r>
    </w:p>
    <w:p w:rsidR="00373548" w:rsidRDefault="00373548" w:rsidP="00373548">
      <w:pPr>
        <w:jc w:val="center"/>
        <w:rPr>
          <w:b/>
          <w:u w:val="single"/>
        </w:rPr>
      </w:pPr>
      <w:r>
        <w:rPr>
          <w:b/>
          <w:u w:val="single"/>
        </w:rPr>
        <w:t>2009-2010 School Year – Gallatin County High School</w:t>
      </w:r>
    </w:p>
    <w:p w:rsidR="00373548" w:rsidRDefault="00373548" w:rsidP="00373548">
      <w:r>
        <w:rPr>
          <w:b/>
          <w:u w:val="single"/>
        </w:rPr>
        <w:br/>
        <w:t>Seniors</w:t>
      </w:r>
    </w:p>
    <w:p w:rsidR="00373548" w:rsidRDefault="00373548" w:rsidP="00373548">
      <w:r>
        <w:t xml:space="preserve">There are 88 </w:t>
      </w:r>
      <w:proofErr w:type="gramStart"/>
      <w:r>
        <w:t>Seniors</w:t>
      </w:r>
      <w:proofErr w:type="gramEnd"/>
      <w:r>
        <w:t xml:space="preserve"> (92 graduates).</w:t>
      </w:r>
    </w:p>
    <w:tbl>
      <w:tblPr>
        <w:tblStyle w:val="TableGrid"/>
        <w:tblW w:w="0" w:type="auto"/>
        <w:tblLook w:val="04A0"/>
      </w:tblPr>
      <w:tblGrid>
        <w:gridCol w:w="1915"/>
        <w:gridCol w:w="2063"/>
        <w:gridCol w:w="1767"/>
        <w:gridCol w:w="1915"/>
        <w:gridCol w:w="1916"/>
      </w:tblGrid>
      <w:tr w:rsidR="00373548" w:rsidTr="005519EE">
        <w:tc>
          <w:tcPr>
            <w:tcW w:w="1915" w:type="dxa"/>
          </w:tcPr>
          <w:p w:rsidR="00373548" w:rsidRDefault="00373548" w:rsidP="00373548">
            <w:pPr>
              <w:rPr>
                <w:b/>
                <w:u w:val="single"/>
              </w:rPr>
            </w:pPr>
          </w:p>
        </w:tc>
        <w:tc>
          <w:tcPr>
            <w:tcW w:w="2063" w:type="dxa"/>
          </w:tcPr>
          <w:p w:rsidR="00373548" w:rsidRPr="005519EE" w:rsidRDefault="005519EE" w:rsidP="00373548">
            <w:r>
              <w:t>09-10 Seniors (</w:t>
            </w:r>
            <w:proofErr w:type="spellStart"/>
            <w:r>
              <w:t>proj</w:t>
            </w:r>
            <w:proofErr w:type="spellEnd"/>
            <w:r>
              <w:t>)</w:t>
            </w:r>
          </w:p>
        </w:tc>
        <w:tc>
          <w:tcPr>
            <w:tcW w:w="1767" w:type="dxa"/>
          </w:tcPr>
          <w:p w:rsidR="00373548" w:rsidRPr="005519EE" w:rsidRDefault="005519EE" w:rsidP="00373548">
            <w:r>
              <w:t>08-09 Graduates</w:t>
            </w:r>
          </w:p>
        </w:tc>
        <w:tc>
          <w:tcPr>
            <w:tcW w:w="1915" w:type="dxa"/>
          </w:tcPr>
          <w:p w:rsidR="00373548" w:rsidRPr="005519EE" w:rsidRDefault="005519EE" w:rsidP="00373548">
            <w:r>
              <w:t>07-08 Graduates</w:t>
            </w:r>
          </w:p>
        </w:tc>
        <w:tc>
          <w:tcPr>
            <w:tcW w:w="1916" w:type="dxa"/>
          </w:tcPr>
          <w:p w:rsidR="00373548" w:rsidRPr="005519EE" w:rsidRDefault="005519EE" w:rsidP="00373548">
            <w:r>
              <w:t>06-07 Graduates</w:t>
            </w:r>
          </w:p>
        </w:tc>
      </w:tr>
      <w:tr w:rsidR="00373548" w:rsidTr="005519EE">
        <w:tc>
          <w:tcPr>
            <w:tcW w:w="1915" w:type="dxa"/>
          </w:tcPr>
          <w:p w:rsidR="00373548" w:rsidRPr="00373548" w:rsidRDefault="00373548" w:rsidP="00373548">
            <w:r>
              <w:t>Students</w:t>
            </w:r>
          </w:p>
        </w:tc>
        <w:tc>
          <w:tcPr>
            <w:tcW w:w="2063" w:type="dxa"/>
          </w:tcPr>
          <w:p w:rsidR="00373548" w:rsidRPr="005519EE" w:rsidRDefault="005519EE" w:rsidP="005519EE">
            <w:pPr>
              <w:jc w:val="center"/>
            </w:pPr>
            <w:r>
              <w:t>88</w:t>
            </w:r>
          </w:p>
        </w:tc>
        <w:tc>
          <w:tcPr>
            <w:tcW w:w="1767" w:type="dxa"/>
          </w:tcPr>
          <w:p w:rsidR="00373548" w:rsidRPr="005519EE" w:rsidRDefault="005519EE" w:rsidP="005519EE">
            <w:pPr>
              <w:jc w:val="center"/>
            </w:pPr>
            <w:r>
              <w:t>96</w:t>
            </w:r>
          </w:p>
        </w:tc>
        <w:tc>
          <w:tcPr>
            <w:tcW w:w="1915" w:type="dxa"/>
          </w:tcPr>
          <w:p w:rsidR="00373548" w:rsidRPr="005519EE" w:rsidRDefault="005519EE" w:rsidP="005519EE">
            <w:pPr>
              <w:jc w:val="center"/>
            </w:pPr>
            <w:r>
              <w:t>100</w:t>
            </w:r>
          </w:p>
        </w:tc>
        <w:tc>
          <w:tcPr>
            <w:tcW w:w="1916" w:type="dxa"/>
          </w:tcPr>
          <w:p w:rsidR="00373548" w:rsidRPr="005519EE" w:rsidRDefault="005519EE" w:rsidP="005519EE">
            <w:pPr>
              <w:jc w:val="center"/>
            </w:pPr>
            <w:r>
              <w:t>72</w:t>
            </w:r>
          </w:p>
        </w:tc>
      </w:tr>
      <w:tr w:rsidR="00373548" w:rsidTr="005519EE">
        <w:tc>
          <w:tcPr>
            <w:tcW w:w="1915" w:type="dxa"/>
          </w:tcPr>
          <w:p w:rsidR="00373548" w:rsidRPr="00373548" w:rsidRDefault="00373548" w:rsidP="00373548">
            <w:r>
              <w:t>College/Tech/Voc</w:t>
            </w:r>
          </w:p>
        </w:tc>
        <w:tc>
          <w:tcPr>
            <w:tcW w:w="2063" w:type="dxa"/>
          </w:tcPr>
          <w:p w:rsidR="00373548" w:rsidRPr="005519EE" w:rsidRDefault="00D5069A" w:rsidP="00D5069A">
            <w:pPr>
              <w:jc w:val="center"/>
            </w:pPr>
            <w:r>
              <w:t>85.5</w:t>
            </w:r>
            <w:r w:rsidR="005519EE">
              <w:t>%</w:t>
            </w:r>
          </w:p>
        </w:tc>
        <w:tc>
          <w:tcPr>
            <w:tcW w:w="1767" w:type="dxa"/>
          </w:tcPr>
          <w:p w:rsidR="00373548" w:rsidRPr="005519EE" w:rsidRDefault="005519EE" w:rsidP="005519EE">
            <w:pPr>
              <w:jc w:val="center"/>
            </w:pPr>
            <w:r>
              <w:t>41.5%</w:t>
            </w:r>
          </w:p>
        </w:tc>
        <w:tc>
          <w:tcPr>
            <w:tcW w:w="1915" w:type="dxa"/>
          </w:tcPr>
          <w:p w:rsidR="00373548" w:rsidRPr="005519EE" w:rsidRDefault="005519EE" w:rsidP="005519EE">
            <w:pPr>
              <w:jc w:val="center"/>
            </w:pPr>
            <w:r>
              <w:t>42.2%</w:t>
            </w:r>
          </w:p>
        </w:tc>
        <w:tc>
          <w:tcPr>
            <w:tcW w:w="1916" w:type="dxa"/>
          </w:tcPr>
          <w:p w:rsidR="00373548" w:rsidRPr="005519EE" w:rsidRDefault="005519EE" w:rsidP="005519EE">
            <w:pPr>
              <w:jc w:val="center"/>
            </w:pPr>
            <w:r>
              <w:t>33%</w:t>
            </w:r>
          </w:p>
        </w:tc>
      </w:tr>
      <w:tr w:rsidR="00373548" w:rsidTr="005519EE">
        <w:tc>
          <w:tcPr>
            <w:tcW w:w="1915" w:type="dxa"/>
          </w:tcPr>
          <w:p w:rsidR="00373548" w:rsidRPr="00373548" w:rsidRDefault="00373548" w:rsidP="00373548">
            <w:r>
              <w:t>Workforce</w:t>
            </w:r>
          </w:p>
        </w:tc>
        <w:tc>
          <w:tcPr>
            <w:tcW w:w="2063" w:type="dxa"/>
          </w:tcPr>
          <w:p w:rsidR="00373548" w:rsidRPr="005519EE" w:rsidRDefault="005519EE" w:rsidP="00D5069A">
            <w:pPr>
              <w:jc w:val="center"/>
            </w:pPr>
            <w:r>
              <w:t>1</w:t>
            </w:r>
            <w:r w:rsidR="00D5069A">
              <w:t>1</w:t>
            </w:r>
            <w:r>
              <w:t>.5%</w:t>
            </w:r>
          </w:p>
        </w:tc>
        <w:tc>
          <w:tcPr>
            <w:tcW w:w="1767" w:type="dxa"/>
          </w:tcPr>
          <w:p w:rsidR="00373548" w:rsidRPr="005519EE" w:rsidRDefault="005519EE" w:rsidP="005519EE">
            <w:pPr>
              <w:jc w:val="center"/>
            </w:pPr>
            <w:r>
              <w:t>42%</w:t>
            </w:r>
          </w:p>
        </w:tc>
        <w:tc>
          <w:tcPr>
            <w:tcW w:w="1915" w:type="dxa"/>
          </w:tcPr>
          <w:p w:rsidR="00373548" w:rsidRPr="005519EE" w:rsidRDefault="005519EE" w:rsidP="005519EE">
            <w:pPr>
              <w:jc w:val="center"/>
            </w:pPr>
            <w:r w:rsidRPr="005519EE">
              <w:t>39.4%</w:t>
            </w:r>
          </w:p>
        </w:tc>
        <w:tc>
          <w:tcPr>
            <w:tcW w:w="1916" w:type="dxa"/>
          </w:tcPr>
          <w:p w:rsidR="00373548" w:rsidRPr="005519EE" w:rsidRDefault="005519EE" w:rsidP="005519EE">
            <w:pPr>
              <w:jc w:val="center"/>
            </w:pPr>
            <w:r w:rsidRPr="005519EE">
              <w:t>47%</w:t>
            </w:r>
          </w:p>
        </w:tc>
      </w:tr>
      <w:tr w:rsidR="00373548" w:rsidTr="005519EE">
        <w:tc>
          <w:tcPr>
            <w:tcW w:w="1915" w:type="dxa"/>
          </w:tcPr>
          <w:p w:rsidR="00373548" w:rsidRPr="00373548" w:rsidRDefault="00373548" w:rsidP="00373548">
            <w:r>
              <w:t>Military</w:t>
            </w:r>
          </w:p>
        </w:tc>
        <w:tc>
          <w:tcPr>
            <w:tcW w:w="2063" w:type="dxa"/>
          </w:tcPr>
          <w:p w:rsidR="00373548" w:rsidRPr="005519EE" w:rsidRDefault="00D5069A" w:rsidP="005519EE">
            <w:pPr>
              <w:jc w:val="center"/>
            </w:pPr>
            <w:r>
              <w:t>3</w:t>
            </w:r>
            <w:r w:rsidR="005519EE" w:rsidRPr="005519EE">
              <w:t>%</w:t>
            </w:r>
          </w:p>
        </w:tc>
        <w:tc>
          <w:tcPr>
            <w:tcW w:w="1767" w:type="dxa"/>
          </w:tcPr>
          <w:p w:rsidR="00373548" w:rsidRPr="005519EE" w:rsidRDefault="005519EE" w:rsidP="005519EE">
            <w:pPr>
              <w:jc w:val="center"/>
            </w:pPr>
            <w:r>
              <w:t>3%</w:t>
            </w:r>
          </w:p>
        </w:tc>
        <w:tc>
          <w:tcPr>
            <w:tcW w:w="1915" w:type="dxa"/>
          </w:tcPr>
          <w:p w:rsidR="00373548" w:rsidRPr="005519EE" w:rsidRDefault="005519EE" w:rsidP="005519EE">
            <w:pPr>
              <w:jc w:val="center"/>
            </w:pPr>
            <w:r>
              <w:t>3.8%</w:t>
            </w:r>
          </w:p>
        </w:tc>
        <w:tc>
          <w:tcPr>
            <w:tcW w:w="1916" w:type="dxa"/>
          </w:tcPr>
          <w:p w:rsidR="00373548" w:rsidRPr="005519EE" w:rsidRDefault="005519EE" w:rsidP="005519EE">
            <w:pPr>
              <w:jc w:val="center"/>
            </w:pPr>
            <w:r>
              <w:t>0%</w:t>
            </w:r>
          </w:p>
        </w:tc>
      </w:tr>
      <w:tr w:rsidR="00373548" w:rsidTr="005519EE">
        <w:tc>
          <w:tcPr>
            <w:tcW w:w="1915" w:type="dxa"/>
          </w:tcPr>
          <w:p w:rsidR="00373548" w:rsidRPr="00373548" w:rsidRDefault="00373548" w:rsidP="00373548">
            <w:r>
              <w:t>Unsuccessful</w:t>
            </w:r>
          </w:p>
        </w:tc>
        <w:tc>
          <w:tcPr>
            <w:tcW w:w="2063" w:type="dxa"/>
          </w:tcPr>
          <w:p w:rsidR="00373548" w:rsidRPr="005519EE" w:rsidRDefault="005519EE" w:rsidP="005519EE">
            <w:pPr>
              <w:jc w:val="center"/>
            </w:pPr>
            <w:r w:rsidRPr="005519EE">
              <w:t>0%</w:t>
            </w:r>
          </w:p>
        </w:tc>
        <w:tc>
          <w:tcPr>
            <w:tcW w:w="1767" w:type="dxa"/>
          </w:tcPr>
          <w:p w:rsidR="00373548" w:rsidRPr="005519EE" w:rsidRDefault="005519EE" w:rsidP="005519EE">
            <w:pPr>
              <w:jc w:val="center"/>
            </w:pPr>
            <w:r>
              <w:t>13.5%</w:t>
            </w:r>
          </w:p>
        </w:tc>
        <w:tc>
          <w:tcPr>
            <w:tcW w:w="1915" w:type="dxa"/>
          </w:tcPr>
          <w:p w:rsidR="00373548" w:rsidRPr="005519EE" w:rsidRDefault="005519EE" w:rsidP="005519EE">
            <w:pPr>
              <w:jc w:val="center"/>
            </w:pPr>
            <w:r w:rsidRPr="005519EE">
              <w:t>6.7%</w:t>
            </w:r>
          </w:p>
        </w:tc>
        <w:tc>
          <w:tcPr>
            <w:tcW w:w="1916" w:type="dxa"/>
          </w:tcPr>
          <w:p w:rsidR="00373548" w:rsidRPr="005519EE" w:rsidRDefault="005519EE" w:rsidP="005519EE">
            <w:pPr>
              <w:jc w:val="center"/>
            </w:pPr>
            <w:r w:rsidRPr="005519EE">
              <w:t>19%</w:t>
            </w:r>
          </w:p>
        </w:tc>
      </w:tr>
    </w:tbl>
    <w:p w:rsidR="00373548" w:rsidRDefault="00373548" w:rsidP="00373548">
      <w:pPr>
        <w:rPr>
          <w:b/>
          <w:u w:val="single"/>
        </w:rPr>
      </w:pPr>
    </w:p>
    <w:p w:rsidR="005519EE" w:rsidRDefault="005519EE" w:rsidP="00373548">
      <w:r>
        <w:rPr>
          <w:b/>
          <w:u w:val="single"/>
        </w:rPr>
        <w:t>Juniors</w:t>
      </w:r>
    </w:p>
    <w:p w:rsidR="005519EE" w:rsidRDefault="005519EE" w:rsidP="00373548">
      <w:r>
        <w:t xml:space="preserve">There are 109 </w:t>
      </w:r>
      <w:proofErr w:type="gramStart"/>
      <w:r>
        <w:t>Juniors</w:t>
      </w:r>
      <w:proofErr w:type="gramEnd"/>
      <w:r>
        <w:t>.</w:t>
      </w:r>
      <w:r>
        <w:br/>
        <w:t xml:space="preserve">4 are listed Juniors </w:t>
      </w:r>
      <w:proofErr w:type="gramStart"/>
      <w:r>
        <w:t>who  are</w:t>
      </w:r>
      <w:proofErr w:type="gramEnd"/>
      <w:r>
        <w:t xml:space="preserve"> in the Basic Diploma Program and will graduate this year.</w:t>
      </w:r>
    </w:p>
    <w:p w:rsidR="005519EE" w:rsidRDefault="005519EE" w:rsidP="00373548">
      <w:r>
        <w:rPr>
          <w:b/>
          <w:u w:val="single"/>
        </w:rPr>
        <w:t>Sophomores</w:t>
      </w:r>
    </w:p>
    <w:p w:rsidR="005519EE" w:rsidRDefault="005519EE" w:rsidP="00373548">
      <w:r>
        <w:t xml:space="preserve">There are 123 </w:t>
      </w:r>
      <w:proofErr w:type="gramStart"/>
      <w:r>
        <w:t>Sophomores</w:t>
      </w:r>
      <w:proofErr w:type="gramEnd"/>
      <w:r>
        <w:t xml:space="preserve"> this year.</w:t>
      </w:r>
    </w:p>
    <w:p w:rsidR="005519EE" w:rsidRDefault="005519EE" w:rsidP="00373548">
      <w:r>
        <w:rPr>
          <w:b/>
          <w:u w:val="single"/>
        </w:rPr>
        <w:t>Freshmen</w:t>
      </w:r>
    </w:p>
    <w:p w:rsidR="005519EE" w:rsidRDefault="005519EE" w:rsidP="00373548">
      <w:r>
        <w:t xml:space="preserve">There are 147 </w:t>
      </w:r>
      <w:proofErr w:type="gramStart"/>
      <w:r>
        <w:t>Freshmen</w:t>
      </w:r>
      <w:proofErr w:type="gramEnd"/>
      <w:r>
        <w:t xml:space="preserve"> this year.</w:t>
      </w:r>
    </w:p>
    <w:p w:rsidR="005519EE" w:rsidRDefault="005519EE" w:rsidP="005519EE"/>
    <w:p w:rsidR="005519EE" w:rsidRPr="005519EE" w:rsidRDefault="005519EE" w:rsidP="005519EE">
      <w:r>
        <w:t># - These numbers were as of Wednesday, January 13</w:t>
      </w:r>
      <w:r w:rsidRPr="005519EE">
        <w:rPr>
          <w:vertAlign w:val="superscript"/>
        </w:rPr>
        <w:t>th</w:t>
      </w:r>
      <w:r>
        <w:t>.   Any students who did not pass the first semester in their core classes will be offered the opportunity to participate in Credit Recovery during the Spring Semester so that they will be able to be promoted to the next grade.</w:t>
      </w:r>
    </w:p>
    <w:sectPr w:rsidR="005519EE" w:rsidRPr="005519EE" w:rsidSect="00BA6D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E4D"/>
    <w:multiLevelType w:val="hybridMultilevel"/>
    <w:tmpl w:val="3152852A"/>
    <w:lvl w:ilvl="0" w:tplc="AC3A994A">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D73B6"/>
    <w:multiLevelType w:val="hybridMultilevel"/>
    <w:tmpl w:val="3A2E881A"/>
    <w:lvl w:ilvl="0" w:tplc="94C279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373548"/>
    <w:rsid w:val="0029095A"/>
    <w:rsid w:val="00373548"/>
    <w:rsid w:val="005519EE"/>
    <w:rsid w:val="00BA6DBB"/>
    <w:rsid w:val="00D50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19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mdavis</dc:creator>
  <cp:keywords/>
  <dc:description/>
  <cp:lastModifiedBy>mdavis</cp:lastModifiedBy>
  <cp:revision>1</cp:revision>
  <cp:lastPrinted>2010-01-15T13:49:00Z</cp:lastPrinted>
  <dcterms:created xsi:type="dcterms:W3CDTF">2010-01-15T13:15:00Z</dcterms:created>
  <dcterms:modified xsi:type="dcterms:W3CDTF">2010-01-15T14:00:00Z</dcterms:modified>
</cp:coreProperties>
</file>