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66FD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F66F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F66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F66F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Reno Bid Package #1, BG 17-279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F66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8F66F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8F66F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 for Ignite Reno Bid Package #1, BG 17-279,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F66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$474,400.00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F66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8F66FD">
                <w:t>BG-4 for Ignite Reno Bid Package #1, BG 17-279,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8F66F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8F66F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24AB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6F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496AA0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52698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52698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52698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EAC1-FE60-4EAE-931A-77D99FE2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2021-09-29T12:04:00Z</cp:lastPrinted>
  <dcterms:created xsi:type="dcterms:W3CDTF">2021-09-29T12:00:00Z</dcterms:created>
  <dcterms:modified xsi:type="dcterms:W3CDTF">2021-09-29T12:04:00Z</dcterms:modified>
</cp:coreProperties>
</file>