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44A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44A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Access Controls, Phase 2, BG 20-200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B44AD3">
            <w:rPr>
              <w:rFonts w:asciiTheme="minorHAnsi" w:hAnsiTheme="minorHAnsi" w:cstheme="minorHAnsi"/>
            </w:rPr>
            <w:t>Access Controls, Phase 2, BG 20-200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44AD3">
            <w:rPr>
              <w:rFonts w:asciiTheme="minorHAnsi" w:hAnsiTheme="minorHAnsi" w:cstheme="minorHAnsi"/>
            </w:rPr>
            <w:t>218,945.00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B44AD3">
                <w:t>Access Controls, Phase 2, BG 20-200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B44AD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44AD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44AD3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4E2A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2F685F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E3C6-D5A3-4985-980C-9CB56FFA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2021-09-24T13:18:00Z</cp:lastPrinted>
  <dcterms:created xsi:type="dcterms:W3CDTF">2021-09-24T13:16:00Z</dcterms:created>
  <dcterms:modified xsi:type="dcterms:W3CDTF">2021-09-24T13:18:00Z</dcterms:modified>
</cp:coreProperties>
</file>