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715B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Ockerman</w:t>
          </w:r>
          <w:proofErr w:type="spellEnd"/>
          <w:r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715B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Boom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715B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Boom Learning Cards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715B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2021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715B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t>Self grading</w:t>
          </w:r>
          <w:proofErr w:type="spellEnd"/>
          <w:r>
            <w:t xml:space="preserve"> activities that are gamified for student engagement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7715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$1,429.20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7715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Kim Best, Principal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4BA738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6275-099E-4578-A92C-07AAD3DA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2021-06-30T17:21:00Z</dcterms:created>
  <dcterms:modified xsi:type="dcterms:W3CDTF">2021-06-30T17:25:00Z</dcterms:modified>
</cp:coreProperties>
</file>