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DB783" w14:textId="77777777" w:rsidR="00E75E98" w:rsidRDefault="00E75E98" w:rsidP="00F72709">
      <w:pPr>
        <w:spacing w:after="0" w:line="240" w:lineRule="auto"/>
        <w:jc w:val="both"/>
        <w:rPr>
          <w:u w:val="single"/>
        </w:rPr>
      </w:pPr>
    </w:p>
    <w:p w14:paraId="72F14C14" w14:textId="1D1EC023" w:rsidR="00910906" w:rsidRPr="004A27D0" w:rsidRDefault="00910906" w:rsidP="00F72709">
      <w:pPr>
        <w:pStyle w:val="ListParagraph"/>
        <w:numPr>
          <w:ilvl w:val="0"/>
          <w:numId w:val="1"/>
        </w:numPr>
        <w:spacing w:after="0" w:line="240" w:lineRule="auto"/>
        <w:jc w:val="both"/>
        <w:rPr>
          <w:u w:val="single"/>
        </w:rPr>
      </w:pPr>
      <w:r w:rsidRPr="004A27D0">
        <w:rPr>
          <w:u w:val="single"/>
        </w:rPr>
        <w:t>Availability</w:t>
      </w:r>
    </w:p>
    <w:p w14:paraId="2E0095B3" w14:textId="77777777" w:rsidR="002F4F4A" w:rsidRDefault="002F4F4A" w:rsidP="00F72709">
      <w:pPr>
        <w:spacing w:after="0" w:line="240" w:lineRule="auto"/>
        <w:jc w:val="both"/>
      </w:pPr>
    </w:p>
    <w:p w14:paraId="677BC65F" w14:textId="3D493302" w:rsidR="00910906" w:rsidRDefault="00910906" w:rsidP="00F72709">
      <w:pPr>
        <w:spacing w:after="0" w:line="240" w:lineRule="auto"/>
        <w:ind w:left="360"/>
        <w:jc w:val="both"/>
      </w:pPr>
      <w:r>
        <w:t xml:space="preserve">This rate schedule for wholesale power is available to Members purchasing power and energy </w:t>
      </w:r>
      <w:r w:rsidR="004804A5">
        <w:t xml:space="preserve">and related </w:t>
      </w:r>
      <w:r w:rsidR="008E5ABB">
        <w:t xml:space="preserve">services </w:t>
      </w:r>
      <w:r>
        <w:t>from the Agency under the All</w:t>
      </w:r>
      <w:r w:rsidR="00EC7760">
        <w:t xml:space="preserve"> </w:t>
      </w:r>
      <w:r>
        <w:t xml:space="preserve">Requirements Power Sales Contract (“Contract”). </w:t>
      </w:r>
    </w:p>
    <w:p w14:paraId="25813FB0" w14:textId="77777777" w:rsidR="000E7E18" w:rsidRDefault="000E7E18" w:rsidP="00F72709">
      <w:pPr>
        <w:spacing w:after="0" w:line="240" w:lineRule="auto"/>
        <w:jc w:val="both"/>
      </w:pPr>
    </w:p>
    <w:p w14:paraId="60985CA8" w14:textId="77777777" w:rsidR="00910906" w:rsidRPr="002F4F4A" w:rsidRDefault="00910906" w:rsidP="00F72709">
      <w:pPr>
        <w:pStyle w:val="ListParagraph"/>
        <w:numPr>
          <w:ilvl w:val="0"/>
          <w:numId w:val="1"/>
        </w:numPr>
        <w:spacing w:after="0" w:line="240" w:lineRule="auto"/>
        <w:jc w:val="both"/>
        <w:rPr>
          <w:u w:val="single"/>
        </w:rPr>
      </w:pPr>
      <w:r w:rsidRPr="002F4F4A">
        <w:rPr>
          <w:u w:val="single"/>
        </w:rPr>
        <w:t>Applicability</w:t>
      </w:r>
    </w:p>
    <w:p w14:paraId="5027920A" w14:textId="77777777" w:rsidR="002F4F4A" w:rsidRDefault="002F4F4A" w:rsidP="00F72709">
      <w:pPr>
        <w:spacing w:after="0" w:line="240" w:lineRule="auto"/>
        <w:jc w:val="both"/>
      </w:pPr>
    </w:p>
    <w:p w14:paraId="191A70E3" w14:textId="4FFB6854" w:rsidR="00910906" w:rsidRDefault="00910906" w:rsidP="00F72709">
      <w:pPr>
        <w:spacing w:after="0" w:line="240" w:lineRule="auto"/>
        <w:ind w:left="360"/>
        <w:jc w:val="both"/>
      </w:pPr>
      <w:r>
        <w:t xml:space="preserve">This </w:t>
      </w:r>
      <w:r w:rsidR="00B80FA5">
        <w:t xml:space="preserve">rate schedule </w:t>
      </w:r>
      <w:r>
        <w:t xml:space="preserve">is applicable to </w:t>
      </w:r>
      <w:r w:rsidR="00B80FA5">
        <w:t>M</w:t>
      </w:r>
      <w:r>
        <w:t>ember</w:t>
      </w:r>
      <w:r w:rsidR="00B80FA5">
        <w:t>s</w:t>
      </w:r>
      <w:r w:rsidR="004804A5">
        <w:t xml:space="preserve"> taking service from the Agency under </w:t>
      </w:r>
      <w:r w:rsidR="00BD4ADA">
        <w:t>the Contract</w:t>
      </w:r>
      <w:r w:rsidR="00482797">
        <w:t xml:space="preserve"> (“AR Members”)</w:t>
      </w:r>
      <w:r>
        <w:t>.</w:t>
      </w:r>
    </w:p>
    <w:p w14:paraId="2669737B" w14:textId="77777777" w:rsidR="002F4F4A" w:rsidRDefault="002F4F4A" w:rsidP="00F72709">
      <w:pPr>
        <w:spacing w:after="0" w:line="240" w:lineRule="auto"/>
        <w:jc w:val="both"/>
      </w:pPr>
    </w:p>
    <w:p w14:paraId="3680064F" w14:textId="77777777" w:rsidR="00B80FA5" w:rsidRPr="002F4F4A" w:rsidRDefault="00B80FA5" w:rsidP="00F72709">
      <w:pPr>
        <w:pStyle w:val="ListParagraph"/>
        <w:numPr>
          <w:ilvl w:val="0"/>
          <w:numId w:val="1"/>
        </w:numPr>
        <w:spacing w:after="0" w:line="240" w:lineRule="auto"/>
        <w:jc w:val="both"/>
        <w:rPr>
          <w:u w:val="single"/>
        </w:rPr>
      </w:pPr>
      <w:r w:rsidRPr="002F4F4A">
        <w:rPr>
          <w:u w:val="single"/>
        </w:rPr>
        <w:t>Character of Service</w:t>
      </w:r>
    </w:p>
    <w:p w14:paraId="687EC942" w14:textId="77777777" w:rsidR="002F4F4A" w:rsidRDefault="002F4F4A" w:rsidP="00F72709">
      <w:pPr>
        <w:spacing w:after="0" w:line="240" w:lineRule="auto"/>
        <w:jc w:val="both"/>
      </w:pPr>
    </w:p>
    <w:p w14:paraId="62FBCA88" w14:textId="32EA4142" w:rsidR="00B80FA5" w:rsidRDefault="00B80FA5" w:rsidP="00F72709">
      <w:pPr>
        <w:spacing w:after="0" w:line="240" w:lineRule="auto"/>
        <w:ind w:left="360"/>
        <w:jc w:val="both"/>
      </w:pPr>
      <w:r>
        <w:t>Wholesale power furnished under this rate schedule at one or more Points of Delivery as set forth in Schedule A shall be sixty-hertz, three-phase, alternating current.</w:t>
      </w:r>
    </w:p>
    <w:p w14:paraId="7095B046" w14:textId="5AC11281" w:rsidR="002F4F4A" w:rsidRDefault="002F4F4A" w:rsidP="00F72709">
      <w:pPr>
        <w:spacing w:after="0" w:line="240" w:lineRule="auto"/>
        <w:jc w:val="both"/>
      </w:pPr>
    </w:p>
    <w:p w14:paraId="39986AB6" w14:textId="77777777" w:rsidR="00910906" w:rsidRPr="002F4F4A" w:rsidRDefault="00910906" w:rsidP="00F72709">
      <w:pPr>
        <w:pStyle w:val="ListParagraph"/>
        <w:numPr>
          <w:ilvl w:val="0"/>
          <w:numId w:val="1"/>
        </w:numPr>
        <w:spacing w:after="0" w:line="240" w:lineRule="auto"/>
        <w:jc w:val="both"/>
        <w:rPr>
          <w:u w:val="single"/>
        </w:rPr>
      </w:pPr>
      <w:r w:rsidRPr="002F4F4A">
        <w:rPr>
          <w:u w:val="single"/>
        </w:rPr>
        <w:t>Monthly Rate</w:t>
      </w:r>
      <w:r w:rsidR="00B80FA5" w:rsidRPr="002F4F4A">
        <w:rPr>
          <w:u w:val="single"/>
        </w:rPr>
        <w:t>s and Charges</w:t>
      </w:r>
    </w:p>
    <w:p w14:paraId="27429692" w14:textId="2A3608EE" w:rsidR="002F4F4A" w:rsidRDefault="002F4F4A" w:rsidP="00F72709">
      <w:pPr>
        <w:spacing w:after="0" w:line="240" w:lineRule="auto"/>
        <w:jc w:val="both"/>
      </w:pPr>
    </w:p>
    <w:p w14:paraId="40971955" w14:textId="48309B32" w:rsidR="00B80FA5" w:rsidRDefault="00B80FA5" w:rsidP="00F72709">
      <w:pPr>
        <w:spacing w:after="0" w:line="240" w:lineRule="auto"/>
        <w:ind w:left="360"/>
        <w:jc w:val="both"/>
      </w:pPr>
      <w:r>
        <w:t xml:space="preserve">The Member’s </w:t>
      </w:r>
      <w:r w:rsidR="00BF48A1">
        <w:t xml:space="preserve">monthly </w:t>
      </w:r>
      <w:r>
        <w:t>bill will include the following charges:</w:t>
      </w:r>
    </w:p>
    <w:p w14:paraId="789C9EAB" w14:textId="72A0B155" w:rsidR="00A87A93" w:rsidRDefault="00A87A93" w:rsidP="00F72709">
      <w:pPr>
        <w:spacing w:after="0" w:line="240" w:lineRule="auto"/>
        <w:jc w:val="both"/>
      </w:pPr>
    </w:p>
    <w:p w14:paraId="7C08BB88" w14:textId="5B719E80" w:rsidR="00A87A93" w:rsidRPr="000938A4" w:rsidRDefault="00BF48A1" w:rsidP="00F72709">
      <w:pPr>
        <w:spacing w:after="0" w:line="240" w:lineRule="auto"/>
        <w:ind w:left="720"/>
        <w:jc w:val="both"/>
      </w:pPr>
      <w:r w:rsidRPr="000938A4">
        <w:t>AR Project Charges</w:t>
      </w:r>
    </w:p>
    <w:p w14:paraId="2CA12E91" w14:textId="32D9DF4A" w:rsidR="00910906" w:rsidRDefault="00D82DF7" w:rsidP="004D63DD">
      <w:pPr>
        <w:tabs>
          <w:tab w:val="left" w:pos="5040"/>
        </w:tabs>
        <w:spacing w:before="120" w:after="0" w:line="240" w:lineRule="auto"/>
        <w:ind w:left="5040" w:hanging="3960"/>
      </w:pPr>
      <w:r>
        <w:t>Demand Charge</w:t>
      </w:r>
      <w:r w:rsidR="00525085">
        <w:tab/>
      </w:r>
      <w:r w:rsidR="00910906">
        <w:t>$</w:t>
      </w:r>
      <w:r w:rsidR="00B80FA5">
        <w:t>1</w:t>
      </w:r>
      <w:r w:rsidR="00B82852">
        <w:t>4</w:t>
      </w:r>
      <w:r w:rsidR="00B80FA5">
        <w:t>.</w:t>
      </w:r>
      <w:r w:rsidR="00355A87">
        <w:t>044</w:t>
      </w:r>
      <w:r w:rsidR="00910906">
        <w:t xml:space="preserve"> per kW </w:t>
      </w:r>
      <w:r w:rsidR="00CB56A2">
        <w:t xml:space="preserve">times </w:t>
      </w:r>
      <w:r w:rsidR="00854F60">
        <w:t>Mon</w:t>
      </w:r>
      <w:r w:rsidR="00AC4188">
        <w:t>thly Billing</w:t>
      </w:r>
      <w:r w:rsidR="00B80FA5">
        <w:t xml:space="preserve"> </w:t>
      </w:r>
      <w:r w:rsidR="00910906">
        <w:t>Demand</w:t>
      </w:r>
    </w:p>
    <w:p w14:paraId="02F2BFB4" w14:textId="1C450213" w:rsidR="004A27D0" w:rsidRDefault="004A27D0" w:rsidP="004D63DD">
      <w:pPr>
        <w:tabs>
          <w:tab w:val="left" w:pos="5040"/>
        </w:tabs>
        <w:spacing w:before="120" w:after="0" w:line="240" w:lineRule="auto"/>
        <w:ind w:left="5040" w:hanging="3960"/>
      </w:pPr>
      <w:r>
        <w:t xml:space="preserve">Energy </w:t>
      </w:r>
      <w:r w:rsidR="00D82DF7">
        <w:t>Charge</w:t>
      </w:r>
      <w:r w:rsidR="00D82DF7">
        <w:tab/>
      </w:r>
      <w:r w:rsidR="00A87A93">
        <w:t>$0.</w:t>
      </w:r>
      <w:r w:rsidR="00D664CA">
        <w:t>024</w:t>
      </w:r>
      <w:r w:rsidR="00AA3F30">
        <w:t>702</w:t>
      </w:r>
      <w:r w:rsidR="00D664CA">
        <w:t xml:space="preserve"> </w:t>
      </w:r>
      <w:r w:rsidR="00A87A93">
        <w:t xml:space="preserve">per kWh </w:t>
      </w:r>
      <w:r w:rsidR="00CB56A2">
        <w:t xml:space="preserve">times </w:t>
      </w:r>
      <w:r w:rsidR="004804A5">
        <w:t xml:space="preserve">Monthly Energy </w:t>
      </w:r>
      <w:r w:rsidR="005105D3">
        <w:t>Requirement</w:t>
      </w:r>
      <w:r w:rsidR="00482797">
        <w:t xml:space="preserve"> </w:t>
      </w:r>
    </w:p>
    <w:p w14:paraId="09005B6E" w14:textId="5B4BB8D6" w:rsidR="00D82DF7" w:rsidRDefault="00D82DF7" w:rsidP="004D63DD">
      <w:pPr>
        <w:tabs>
          <w:tab w:val="left" w:pos="5040"/>
        </w:tabs>
        <w:spacing w:before="120" w:after="0" w:line="240" w:lineRule="auto"/>
        <w:ind w:left="5040" w:hanging="3960"/>
      </w:pPr>
      <w:r>
        <w:t>Energy Cost Adjustment (ECA)</w:t>
      </w:r>
      <w:r w:rsidR="00482797">
        <w:t xml:space="preserve"> Charge</w:t>
      </w:r>
      <w:r>
        <w:tab/>
      </w:r>
      <w:r w:rsidR="004D63DD">
        <w:t>A c</w:t>
      </w:r>
      <w:r w:rsidR="00482797">
        <w:t xml:space="preserve">harge </w:t>
      </w:r>
      <w:r w:rsidR="00523842">
        <w:t xml:space="preserve">determined </w:t>
      </w:r>
      <w:r w:rsidR="00B92DB4">
        <w:t xml:space="preserve">monthly per </w:t>
      </w:r>
      <w:r w:rsidR="004A27D0">
        <w:t>Section</w:t>
      </w:r>
      <w:r w:rsidR="008A0089">
        <w:t>s</w:t>
      </w:r>
      <w:r w:rsidR="000E7E18">
        <w:t xml:space="preserve"> 6</w:t>
      </w:r>
      <w:r w:rsidR="004A27D0">
        <w:t xml:space="preserve"> </w:t>
      </w:r>
      <w:r w:rsidR="008A0089">
        <w:t xml:space="preserve">and 7 </w:t>
      </w:r>
      <w:r w:rsidR="00A83F70">
        <w:t>of this Rate Schedule</w:t>
      </w:r>
    </w:p>
    <w:p w14:paraId="71CA170A" w14:textId="7ACA95C7" w:rsidR="00B80FA5" w:rsidRDefault="00B80FA5" w:rsidP="00F72709">
      <w:pPr>
        <w:spacing w:after="0" w:line="240" w:lineRule="auto"/>
        <w:jc w:val="both"/>
      </w:pPr>
    </w:p>
    <w:p w14:paraId="2909D56C" w14:textId="5189BEBD" w:rsidR="00A87A93" w:rsidRDefault="00A87A93" w:rsidP="00F72709">
      <w:pPr>
        <w:spacing w:after="0" w:line="240" w:lineRule="auto"/>
        <w:ind w:left="720"/>
        <w:jc w:val="both"/>
      </w:pPr>
      <w:r>
        <w:t>Transmission</w:t>
      </w:r>
      <w:r w:rsidR="00BF48A1">
        <w:t xml:space="preserve"> Charges</w:t>
      </w:r>
    </w:p>
    <w:p w14:paraId="7A8C908A" w14:textId="400B34CB" w:rsidR="00E03668" w:rsidRDefault="000938A4" w:rsidP="004C032F">
      <w:pPr>
        <w:pStyle w:val="ListParagraph"/>
        <w:numPr>
          <w:ilvl w:val="0"/>
          <w:numId w:val="7"/>
        </w:numPr>
        <w:tabs>
          <w:tab w:val="left" w:pos="5040"/>
        </w:tabs>
        <w:spacing w:before="120" w:after="0" w:line="240" w:lineRule="auto"/>
      </w:pPr>
      <w:r>
        <w:t xml:space="preserve">LGE/KU </w:t>
      </w:r>
      <w:r w:rsidR="00316194">
        <w:t>Transmission Charge</w:t>
      </w:r>
      <w:r w:rsidR="00316194">
        <w:tab/>
        <w:t>$</w:t>
      </w:r>
      <w:r>
        <w:t>2.</w:t>
      </w:r>
      <w:r w:rsidR="00300A6E">
        <w:t>89967</w:t>
      </w:r>
      <w:r w:rsidR="00316194">
        <w:t xml:space="preserve"> per kW </w:t>
      </w:r>
      <w:r w:rsidR="00CB56A2">
        <w:t xml:space="preserve">times </w:t>
      </w:r>
      <w:r w:rsidR="00482797">
        <w:t xml:space="preserve">Monthly </w:t>
      </w:r>
      <w:r w:rsidR="00B0292B">
        <w:t>Coincident (12-</w:t>
      </w:r>
      <w:r w:rsidR="00E03668">
        <w:t xml:space="preserve"> </w:t>
      </w:r>
    </w:p>
    <w:p w14:paraId="6FA69731" w14:textId="59FBCA7B" w:rsidR="00CF1DA7" w:rsidRDefault="00E03668" w:rsidP="00ED4304">
      <w:pPr>
        <w:pStyle w:val="ListParagraph"/>
        <w:tabs>
          <w:tab w:val="left" w:pos="5040"/>
        </w:tabs>
        <w:spacing w:before="120" w:after="0" w:line="240" w:lineRule="auto"/>
        <w:ind w:left="1440"/>
      </w:pPr>
      <w:r>
        <w:tab/>
      </w:r>
      <w:r w:rsidR="00B0292B">
        <w:t xml:space="preserve">CP) </w:t>
      </w:r>
      <w:r w:rsidR="00316194">
        <w:t>Transmission Billing Demand</w:t>
      </w:r>
    </w:p>
    <w:p w14:paraId="624617BE" w14:textId="61E9D8D0" w:rsidR="00316194" w:rsidRDefault="00316194" w:rsidP="00F72709">
      <w:pPr>
        <w:spacing w:after="0" w:line="240" w:lineRule="auto"/>
        <w:ind w:left="720"/>
        <w:jc w:val="both"/>
      </w:pPr>
    </w:p>
    <w:p w14:paraId="03ADC9C3" w14:textId="3BEA0B0B" w:rsidR="00A24A22" w:rsidRDefault="000371DB" w:rsidP="003F16D7">
      <w:pPr>
        <w:spacing w:after="0" w:line="240" w:lineRule="auto"/>
        <w:ind w:left="1440"/>
        <w:jc w:val="both"/>
      </w:pPr>
      <w:r>
        <w:t xml:space="preserve">Applicable to AR </w:t>
      </w:r>
      <w:r w:rsidR="00482797">
        <w:t>M</w:t>
      </w:r>
      <w:r>
        <w:t xml:space="preserve">embers receiving </w:t>
      </w:r>
      <w:r w:rsidR="00482797">
        <w:t xml:space="preserve">service over the LGE/KU </w:t>
      </w:r>
      <w:r>
        <w:t xml:space="preserve">transmission </w:t>
      </w:r>
      <w:r w:rsidR="00482797">
        <w:t xml:space="preserve">system. </w:t>
      </w:r>
      <w:r w:rsidR="006A7670">
        <w:t xml:space="preserve">The </w:t>
      </w:r>
      <w:r w:rsidR="00DB324C">
        <w:t xml:space="preserve">LGE/KU </w:t>
      </w:r>
      <w:r w:rsidR="003241A9">
        <w:t>Transmission Charge is updated annually effective June 1 and includes LGE/KU’s O</w:t>
      </w:r>
      <w:r w:rsidR="006A7670">
        <w:t>pen Access Transmission Tariff (</w:t>
      </w:r>
      <w:r w:rsidR="003241A9">
        <w:t xml:space="preserve">OATT) </w:t>
      </w:r>
      <w:r w:rsidR="00DB324C">
        <w:t>charges under</w:t>
      </w:r>
      <w:r w:rsidR="00A24A22">
        <w:t>:</w:t>
      </w:r>
    </w:p>
    <w:p w14:paraId="307AFA21" w14:textId="32B31C06" w:rsidR="00A24A22" w:rsidRDefault="003241A9" w:rsidP="00893B5C">
      <w:pPr>
        <w:pStyle w:val="ListParagraph"/>
        <w:numPr>
          <w:ilvl w:val="0"/>
          <w:numId w:val="8"/>
        </w:numPr>
        <w:spacing w:after="0" w:line="240" w:lineRule="auto"/>
        <w:jc w:val="both"/>
      </w:pPr>
      <w:r>
        <w:t>Schedule 10, Network Integration Transmission Service</w:t>
      </w:r>
      <w:r w:rsidR="00300A6E">
        <w:t xml:space="preserve">                                             </w:t>
      </w:r>
    </w:p>
    <w:p w14:paraId="1F5AEE98" w14:textId="77777777" w:rsidR="00A24A22" w:rsidRDefault="003241A9" w:rsidP="00893B5C">
      <w:pPr>
        <w:pStyle w:val="ListParagraph"/>
        <w:numPr>
          <w:ilvl w:val="0"/>
          <w:numId w:val="8"/>
        </w:numPr>
        <w:spacing w:after="0" w:line="240" w:lineRule="auto"/>
        <w:jc w:val="both"/>
      </w:pPr>
      <w:r>
        <w:t>Schedule 1, Scheduling, System Control and Dispatch</w:t>
      </w:r>
    </w:p>
    <w:p w14:paraId="39653C85" w14:textId="77777777" w:rsidR="00EE36F9" w:rsidRDefault="00F64E68" w:rsidP="00893B5C">
      <w:pPr>
        <w:pStyle w:val="ListParagraph"/>
        <w:numPr>
          <w:ilvl w:val="0"/>
          <w:numId w:val="8"/>
        </w:numPr>
        <w:spacing w:after="0" w:line="240" w:lineRule="auto"/>
        <w:jc w:val="both"/>
      </w:pPr>
      <w:r w:rsidRPr="00F64E68">
        <w:t>Schedule 2, Reactive Supply and Voltage Control from Generation Sources Service</w:t>
      </w:r>
    </w:p>
    <w:p w14:paraId="10E8CAC8" w14:textId="77777777" w:rsidR="00EE36F9" w:rsidRDefault="008F6DF6" w:rsidP="00893B5C">
      <w:pPr>
        <w:pStyle w:val="ListParagraph"/>
        <w:numPr>
          <w:ilvl w:val="0"/>
          <w:numId w:val="8"/>
        </w:numPr>
        <w:spacing w:after="0" w:line="240" w:lineRule="auto"/>
        <w:jc w:val="both"/>
      </w:pPr>
      <w:r w:rsidRPr="008F6DF6">
        <w:t>Schedule 3, Regulation and Frequency Response Service</w:t>
      </w:r>
    </w:p>
    <w:p w14:paraId="316E49B1" w14:textId="77777777" w:rsidR="00EE36F9" w:rsidRDefault="003D5F37" w:rsidP="00893B5C">
      <w:pPr>
        <w:pStyle w:val="ListParagraph"/>
        <w:numPr>
          <w:ilvl w:val="0"/>
          <w:numId w:val="8"/>
        </w:numPr>
        <w:spacing w:after="0" w:line="240" w:lineRule="auto"/>
        <w:jc w:val="both"/>
      </w:pPr>
      <w:r w:rsidRPr="003D5F37">
        <w:t>Schedule 5, Operating Reserve - Spinning Reserve Service</w:t>
      </w:r>
    </w:p>
    <w:p w14:paraId="7CE36ACF" w14:textId="33B84990" w:rsidR="00CF1DA7" w:rsidRDefault="00E507AF" w:rsidP="00893B5C">
      <w:pPr>
        <w:pStyle w:val="ListParagraph"/>
        <w:numPr>
          <w:ilvl w:val="0"/>
          <w:numId w:val="8"/>
        </w:numPr>
        <w:spacing w:after="0" w:line="240" w:lineRule="auto"/>
        <w:jc w:val="both"/>
      </w:pPr>
      <w:r w:rsidRPr="00E507AF">
        <w:t>Schedule 6, Operating Reserve - Supplemental Reserve Service</w:t>
      </w:r>
    </w:p>
    <w:p w14:paraId="410EEDC9" w14:textId="77777777" w:rsidR="00217E3D" w:rsidRDefault="00217E3D" w:rsidP="00217E3D">
      <w:pPr>
        <w:pStyle w:val="ListParagraph"/>
        <w:numPr>
          <w:ilvl w:val="0"/>
          <w:numId w:val="8"/>
        </w:numPr>
        <w:spacing w:after="0" w:line="240" w:lineRule="auto"/>
        <w:jc w:val="both"/>
      </w:pPr>
      <w:r>
        <w:t xml:space="preserve">Associated credits relevant to the above schedules and any new transmission tariffs </w:t>
      </w:r>
    </w:p>
    <w:p w14:paraId="5B1556BD" w14:textId="5CAD815A" w:rsidR="001C540A" w:rsidRDefault="001C540A" w:rsidP="003F16D7">
      <w:pPr>
        <w:spacing w:after="0" w:line="240" w:lineRule="auto"/>
        <w:ind w:left="1440"/>
        <w:jc w:val="both"/>
      </w:pPr>
    </w:p>
    <w:p w14:paraId="07483ABB" w14:textId="650D8DB0" w:rsidR="001C540A" w:rsidRDefault="000B1E9E" w:rsidP="003F16D7">
      <w:pPr>
        <w:spacing w:after="0" w:line="240" w:lineRule="auto"/>
        <w:ind w:left="1440"/>
        <w:jc w:val="both"/>
      </w:pPr>
      <w:r>
        <w:t xml:space="preserve">The </w:t>
      </w:r>
      <w:r w:rsidR="00C34FB3">
        <w:t>LGE/KU charge is applied</w:t>
      </w:r>
      <w:r w:rsidR="00287809">
        <w:t>,</w:t>
      </w:r>
      <w:r w:rsidR="00C34FB3">
        <w:t xml:space="preserve"> by Member</w:t>
      </w:r>
      <w:r w:rsidR="00287809">
        <w:t>,</w:t>
      </w:r>
      <w:r w:rsidR="00C34FB3">
        <w:t xml:space="preserve"> based on the </w:t>
      </w:r>
      <w:r w:rsidR="00287809">
        <w:t xml:space="preserve">individual </w:t>
      </w:r>
      <w:r w:rsidR="00B85E2C">
        <w:t>M</w:t>
      </w:r>
      <w:r w:rsidR="006B7D74">
        <w:t xml:space="preserve">Member’s </w:t>
      </w:r>
      <w:r w:rsidR="00BE0012">
        <w:t xml:space="preserve">monthly coincident peak </w:t>
      </w:r>
      <w:r w:rsidR="00DA5AA4">
        <w:t xml:space="preserve">(12-CP) </w:t>
      </w:r>
      <w:r w:rsidR="00BE0012">
        <w:t>with the LKE transmission</w:t>
      </w:r>
      <w:r w:rsidR="00A7759E">
        <w:t xml:space="preserve"> system</w:t>
      </w:r>
      <w:r w:rsidR="006E657D">
        <w:t>, and shall not exceed $2.89967 per kW.</w:t>
      </w:r>
    </w:p>
    <w:p w14:paraId="6FB0D0A2" w14:textId="77777777" w:rsidR="00893B5C" w:rsidRDefault="00893B5C" w:rsidP="003F16D7">
      <w:pPr>
        <w:spacing w:after="0" w:line="240" w:lineRule="auto"/>
        <w:ind w:left="1440"/>
        <w:jc w:val="both"/>
      </w:pPr>
    </w:p>
    <w:p w14:paraId="431AB370" w14:textId="77777777" w:rsidR="00840778" w:rsidRDefault="00E03668" w:rsidP="00ED4304">
      <w:pPr>
        <w:pStyle w:val="ListParagraph"/>
        <w:numPr>
          <w:ilvl w:val="0"/>
          <w:numId w:val="7"/>
        </w:numPr>
        <w:tabs>
          <w:tab w:val="left" w:pos="5040"/>
        </w:tabs>
        <w:spacing w:before="120" w:after="0" w:line="240" w:lineRule="auto"/>
      </w:pPr>
      <w:r>
        <w:t>PJM-</w:t>
      </w:r>
      <w:r w:rsidR="005E6705">
        <w:t>EKPC</w:t>
      </w:r>
      <w:r w:rsidR="000371DB">
        <w:t xml:space="preserve"> Transmission Charge</w:t>
      </w:r>
      <w:r w:rsidR="000371DB">
        <w:tab/>
        <w:t>$</w:t>
      </w:r>
      <w:r w:rsidR="00300A6E">
        <w:t>3.</w:t>
      </w:r>
      <w:r w:rsidR="00F406C0">
        <w:t>3178</w:t>
      </w:r>
      <w:r w:rsidR="00840778">
        <w:t>4</w:t>
      </w:r>
      <w:r w:rsidR="000371DB">
        <w:t xml:space="preserve"> per kW </w:t>
      </w:r>
      <w:r w:rsidR="00CB56A2">
        <w:t xml:space="preserve">times </w:t>
      </w:r>
      <w:r w:rsidR="00925E00">
        <w:t>Annual</w:t>
      </w:r>
      <w:r w:rsidR="00F85CE3">
        <w:t xml:space="preserve"> </w:t>
      </w:r>
      <w:r w:rsidR="007B620F">
        <w:t xml:space="preserve">Coincident </w:t>
      </w:r>
    </w:p>
    <w:p w14:paraId="7DD667A2" w14:textId="65470DEE" w:rsidR="007E1EFF" w:rsidRDefault="00840778">
      <w:pPr>
        <w:pStyle w:val="ListParagraph"/>
        <w:tabs>
          <w:tab w:val="left" w:pos="5040"/>
        </w:tabs>
        <w:spacing w:before="120" w:after="0" w:line="240" w:lineRule="auto"/>
        <w:ind w:left="1440"/>
      </w:pPr>
      <w:r>
        <w:tab/>
      </w:r>
      <w:r w:rsidR="00B0292B">
        <w:t xml:space="preserve">(1-CP) </w:t>
      </w:r>
      <w:r w:rsidR="008C4849">
        <w:t xml:space="preserve">Transmission </w:t>
      </w:r>
      <w:r w:rsidR="007B620F">
        <w:t>Billing Demand</w:t>
      </w:r>
    </w:p>
    <w:p w14:paraId="1DACDBA5" w14:textId="77777777" w:rsidR="000371DB" w:rsidRDefault="000371DB" w:rsidP="00F72709">
      <w:pPr>
        <w:spacing w:after="0" w:line="240" w:lineRule="auto"/>
        <w:ind w:left="1080"/>
        <w:jc w:val="both"/>
      </w:pPr>
    </w:p>
    <w:p w14:paraId="6DC58DDE" w14:textId="7FF224AC" w:rsidR="00893B5C" w:rsidRDefault="007F1722" w:rsidP="003F16D7">
      <w:pPr>
        <w:spacing w:after="0" w:line="240" w:lineRule="auto"/>
        <w:ind w:left="1440"/>
        <w:jc w:val="both"/>
      </w:pPr>
      <w:r>
        <w:t>Applicable to AR Members receiving service over the</w:t>
      </w:r>
      <w:r w:rsidR="00E03668">
        <w:t xml:space="preserve"> PJM-</w:t>
      </w:r>
      <w:r w:rsidR="006D6EC6">
        <w:t>EKPC</w:t>
      </w:r>
      <w:r>
        <w:t xml:space="preserve"> transmission system. The </w:t>
      </w:r>
      <w:r w:rsidR="00E03668">
        <w:t>PJM-</w:t>
      </w:r>
      <w:r w:rsidR="006D6EC6">
        <w:t>E</w:t>
      </w:r>
      <w:r w:rsidR="007919E0">
        <w:t xml:space="preserve">KPC </w:t>
      </w:r>
      <w:r>
        <w:t>Transmission Charge is updated annually effective J</w:t>
      </w:r>
      <w:r w:rsidR="00753976">
        <w:t>anuary</w:t>
      </w:r>
      <w:r>
        <w:t xml:space="preserve"> 1 and includes </w:t>
      </w:r>
      <w:r w:rsidR="00E03668">
        <w:t>PJM</w:t>
      </w:r>
      <w:r w:rsidR="001A62B7">
        <w:t xml:space="preserve"> </w:t>
      </w:r>
      <w:r>
        <w:t>Open Access Transmission Tariff (OATT) charges under</w:t>
      </w:r>
      <w:r w:rsidR="00893B5C">
        <w:t>:</w:t>
      </w:r>
    </w:p>
    <w:p w14:paraId="18F6FC23" w14:textId="77777777" w:rsidR="00061D22" w:rsidRDefault="007F1722" w:rsidP="00893B5C">
      <w:pPr>
        <w:pStyle w:val="ListParagraph"/>
        <w:numPr>
          <w:ilvl w:val="0"/>
          <w:numId w:val="9"/>
        </w:numPr>
        <w:spacing w:after="0" w:line="240" w:lineRule="auto"/>
        <w:jc w:val="both"/>
      </w:pPr>
      <w:r>
        <w:t>Schedule 1</w:t>
      </w:r>
      <w:r w:rsidR="00386B48">
        <w:t>10</w:t>
      </w:r>
      <w:r>
        <w:t>0, Network Integration Transmission Service</w:t>
      </w:r>
    </w:p>
    <w:p w14:paraId="6A1D89BD" w14:textId="08D971FF" w:rsidR="00F16722" w:rsidRDefault="007F1722" w:rsidP="00893B5C">
      <w:pPr>
        <w:pStyle w:val="ListParagraph"/>
        <w:numPr>
          <w:ilvl w:val="0"/>
          <w:numId w:val="9"/>
        </w:numPr>
        <w:spacing w:after="0" w:line="240" w:lineRule="auto"/>
        <w:jc w:val="both"/>
      </w:pPr>
      <w:r>
        <w:t>Schedule 1</w:t>
      </w:r>
      <w:r w:rsidR="00386B48">
        <w:t>108</w:t>
      </w:r>
      <w:r>
        <w:t xml:space="preserve">, </w:t>
      </w:r>
      <w:r w:rsidR="00C865B6">
        <w:t>Transmission Enhancement</w:t>
      </w:r>
    </w:p>
    <w:p w14:paraId="6BD83F34" w14:textId="77777777" w:rsidR="00F16722" w:rsidRDefault="00F16722" w:rsidP="00893B5C">
      <w:pPr>
        <w:pStyle w:val="ListParagraph"/>
        <w:numPr>
          <w:ilvl w:val="0"/>
          <w:numId w:val="9"/>
        </w:numPr>
        <w:spacing w:after="0" w:line="240" w:lineRule="auto"/>
        <w:jc w:val="both"/>
      </w:pPr>
      <w:r>
        <w:t>S</w:t>
      </w:r>
      <w:r w:rsidR="00C865B6">
        <w:t>che</w:t>
      </w:r>
      <w:r w:rsidR="007F1722" w:rsidRPr="00F64E68">
        <w:t xml:space="preserve">dule </w:t>
      </w:r>
      <w:r w:rsidR="00C865B6">
        <w:t>111</w:t>
      </w:r>
      <w:r w:rsidR="009E0A7A">
        <w:t>5</w:t>
      </w:r>
      <w:r w:rsidR="007F1722" w:rsidRPr="00F64E68">
        <w:t xml:space="preserve">, </w:t>
      </w:r>
      <w:r w:rsidR="003F0D3A">
        <w:t>Transmission Enhancement Settlement (EL05-121-009)</w:t>
      </w:r>
    </w:p>
    <w:p w14:paraId="14CCC47E" w14:textId="507203EB" w:rsidR="00F16722" w:rsidRDefault="007F1722" w:rsidP="00893B5C">
      <w:pPr>
        <w:pStyle w:val="ListParagraph"/>
        <w:numPr>
          <w:ilvl w:val="0"/>
          <w:numId w:val="9"/>
        </w:numPr>
        <w:spacing w:after="0" w:line="240" w:lineRule="auto"/>
        <w:jc w:val="both"/>
      </w:pPr>
      <w:r w:rsidRPr="008F6DF6">
        <w:t>Schedule</w:t>
      </w:r>
      <w:r w:rsidR="00B10372">
        <w:t>(</w:t>
      </w:r>
      <w:r w:rsidR="00CF587F">
        <w:t>s</w:t>
      </w:r>
      <w:r w:rsidR="00B10372">
        <w:t>)</w:t>
      </w:r>
      <w:r w:rsidRPr="008F6DF6">
        <w:t xml:space="preserve"> </w:t>
      </w:r>
      <w:r w:rsidR="00CE29D1">
        <w:t>1301-1311</w:t>
      </w:r>
      <w:r w:rsidRPr="008F6DF6">
        <w:t xml:space="preserve">, </w:t>
      </w:r>
      <w:r w:rsidR="004F6352">
        <w:t xml:space="preserve">PJM </w:t>
      </w:r>
      <w:r w:rsidR="00CE29D1">
        <w:t xml:space="preserve">Scheduling </w:t>
      </w:r>
      <w:r w:rsidR="004F6352">
        <w:t>Charges, System Control</w:t>
      </w:r>
      <w:r w:rsidR="00572CF4">
        <w:t>,</w:t>
      </w:r>
      <w:r w:rsidR="004F6352">
        <w:t xml:space="preserve"> and Dispatch Service</w:t>
      </w:r>
    </w:p>
    <w:p w14:paraId="3B29760E" w14:textId="77777777" w:rsidR="00F16722" w:rsidRDefault="00380A79" w:rsidP="00893B5C">
      <w:pPr>
        <w:pStyle w:val="ListParagraph"/>
        <w:numPr>
          <w:ilvl w:val="0"/>
          <w:numId w:val="9"/>
        </w:numPr>
        <w:spacing w:after="0" w:line="240" w:lineRule="auto"/>
        <w:jc w:val="both"/>
      </w:pPr>
      <w:r w:rsidRPr="00E507AF">
        <w:t>Schedule</w:t>
      </w:r>
      <w:r>
        <w:t>(s)</w:t>
      </w:r>
      <w:r w:rsidRPr="00E507AF">
        <w:t xml:space="preserve"> </w:t>
      </w:r>
      <w:r>
        <w:t>1313-1319</w:t>
      </w:r>
      <w:r w:rsidRPr="00E507AF">
        <w:t xml:space="preserve">, </w:t>
      </w:r>
      <w:r>
        <w:t>PJM Settlement, Market Monitoring, FERC Recovery, and PJM States Funding</w:t>
      </w:r>
    </w:p>
    <w:p w14:paraId="1C16B0E5" w14:textId="77777777" w:rsidR="00F16722" w:rsidRDefault="007F1722" w:rsidP="00893B5C">
      <w:pPr>
        <w:pStyle w:val="ListParagraph"/>
        <w:numPr>
          <w:ilvl w:val="0"/>
          <w:numId w:val="9"/>
        </w:numPr>
        <w:spacing w:after="0" w:line="240" w:lineRule="auto"/>
        <w:jc w:val="both"/>
      </w:pPr>
      <w:r w:rsidRPr="008F6DF6">
        <w:t xml:space="preserve">Schedule </w:t>
      </w:r>
      <w:r w:rsidR="008A0AF2">
        <w:t>1320</w:t>
      </w:r>
      <w:r w:rsidRPr="008F6DF6">
        <w:t xml:space="preserve">, </w:t>
      </w:r>
      <w:r w:rsidR="00993F95">
        <w:t xml:space="preserve">Transmission Owner Scheduling, System Control and Dispatch </w:t>
      </w:r>
      <w:r w:rsidRPr="008F6DF6">
        <w:t>Service</w:t>
      </w:r>
    </w:p>
    <w:p w14:paraId="009E16F3" w14:textId="77777777" w:rsidR="00F16722" w:rsidRDefault="007F1722" w:rsidP="00893B5C">
      <w:pPr>
        <w:pStyle w:val="ListParagraph"/>
        <w:numPr>
          <w:ilvl w:val="0"/>
          <w:numId w:val="9"/>
        </w:numPr>
        <w:spacing w:after="0" w:line="240" w:lineRule="auto"/>
        <w:jc w:val="both"/>
      </w:pPr>
      <w:r w:rsidRPr="003D5F37">
        <w:t xml:space="preserve">Schedule </w:t>
      </w:r>
      <w:r w:rsidR="009B3FC2">
        <w:t>1330</w:t>
      </w:r>
      <w:r w:rsidRPr="003D5F37">
        <w:t xml:space="preserve">, </w:t>
      </w:r>
      <w:r w:rsidR="00730548">
        <w:t>Reactive Supply and Voltage Control from Generation and Other Sources Service</w:t>
      </w:r>
    </w:p>
    <w:p w14:paraId="35606CD3" w14:textId="0775C6C2" w:rsidR="007F1722" w:rsidRDefault="000E13A0" w:rsidP="00893B5C">
      <w:pPr>
        <w:pStyle w:val="ListParagraph"/>
        <w:numPr>
          <w:ilvl w:val="0"/>
          <w:numId w:val="9"/>
        </w:numPr>
        <w:spacing w:after="0" w:line="240" w:lineRule="auto"/>
        <w:jc w:val="both"/>
      </w:pPr>
      <w:r>
        <w:t>Schedule</w:t>
      </w:r>
      <w:r w:rsidR="00EB236D">
        <w:t>(s)</w:t>
      </w:r>
      <w:r>
        <w:t xml:space="preserve"> </w:t>
      </w:r>
      <w:r w:rsidR="003B106F">
        <w:t>1340</w:t>
      </w:r>
      <w:r w:rsidR="00EB236D">
        <w:t>-1380</w:t>
      </w:r>
      <w:r>
        <w:t xml:space="preserve">, </w:t>
      </w:r>
      <w:r w:rsidR="003B106F">
        <w:t>Regulation</w:t>
      </w:r>
      <w:r w:rsidR="00EB236D">
        <w:t xml:space="preserve">, </w:t>
      </w:r>
      <w:r w:rsidR="003B106F">
        <w:t>Frequency Response</w:t>
      </w:r>
      <w:r w:rsidR="00EB236D">
        <w:t>, Reserve, and Black</w:t>
      </w:r>
      <w:r w:rsidR="005B19E9">
        <w:t xml:space="preserve"> S</w:t>
      </w:r>
      <w:r w:rsidR="00EB236D">
        <w:t>tart</w:t>
      </w:r>
      <w:r w:rsidR="003B106F">
        <w:t xml:space="preserve"> Service</w:t>
      </w:r>
      <w:r w:rsidR="00EB236D">
        <w:t>s</w:t>
      </w:r>
    </w:p>
    <w:p w14:paraId="6AF15E56" w14:textId="678F5DCC" w:rsidR="00E03668" w:rsidRDefault="00E03668">
      <w:pPr>
        <w:pStyle w:val="ListParagraph"/>
        <w:numPr>
          <w:ilvl w:val="0"/>
          <w:numId w:val="9"/>
        </w:numPr>
        <w:spacing w:after="0" w:line="240" w:lineRule="auto"/>
        <w:jc w:val="both"/>
      </w:pPr>
      <w:r>
        <w:t>Associated credits relevant to the above schedules</w:t>
      </w:r>
      <w:r w:rsidR="00217E3D">
        <w:t xml:space="preserve"> and any new transmission tariffs </w:t>
      </w:r>
    </w:p>
    <w:p w14:paraId="04786B69" w14:textId="77777777" w:rsidR="00DA5AA4" w:rsidRDefault="00DA5AA4" w:rsidP="003F16D7">
      <w:pPr>
        <w:spacing w:after="0" w:line="240" w:lineRule="auto"/>
        <w:ind w:left="1440"/>
        <w:jc w:val="both"/>
      </w:pPr>
    </w:p>
    <w:p w14:paraId="028BCA31" w14:textId="042AE7FD" w:rsidR="00DA5AA4" w:rsidRDefault="00DA5AA4" w:rsidP="003F16D7">
      <w:pPr>
        <w:spacing w:after="0" w:line="240" w:lineRule="auto"/>
        <w:ind w:left="1440"/>
        <w:jc w:val="both"/>
      </w:pPr>
      <w:r>
        <w:t xml:space="preserve">The </w:t>
      </w:r>
      <w:r w:rsidR="00614F3D">
        <w:t>PJM-</w:t>
      </w:r>
      <w:r>
        <w:t xml:space="preserve">EKPC charge is applied, by Member, based on the individual </w:t>
      </w:r>
      <w:r w:rsidR="00B85E2C">
        <w:t>M</w:t>
      </w:r>
      <w:r w:rsidR="006B7D74">
        <w:t xml:space="preserve">Member’s </w:t>
      </w:r>
      <w:r>
        <w:t>annual coincident peak (1-CP) with the EKPC transmission system</w:t>
      </w:r>
      <w:r w:rsidR="00EC7760">
        <w:t xml:space="preserve"> and shall not exceed </w:t>
      </w:r>
      <w:r w:rsidR="00451F1C">
        <w:t>$</w:t>
      </w:r>
      <w:r w:rsidR="00EC7760">
        <w:t>3.</w:t>
      </w:r>
      <w:r w:rsidR="00F406C0">
        <w:t>3178</w:t>
      </w:r>
      <w:r w:rsidR="00840778">
        <w:t>4</w:t>
      </w:r>
      <w:r w:rsidR="00451F1C">
        <w:t xml:space="preserve"> per kW</w:t>
      </w:r>
      <w:r>
        <w:t>.</w:t>
      </w:r>
      <w:r w:rsidR="008979E5">
        <w:t xml:space="preserve"> The </w:t>
      </w:r>
      <w:r w:rsidR="000D4A41">
        <w:t xml:space="preserve">annual 1-CP update is based on PJM’s defined time period </w:t>
      </w:r>
      <w:r w:rsidR="00614F3D">
        <w:t>of</w:t>
      </w:r>
      <w:r w:rsidR="00614F3D" w:rsidRPr="007072AF">
        <w:t xml:space="preserve"> </w:t>
      </w:r>
      <w:r w:rsidR="007072AF" w:rsidRPr="007072AF">
        <w:t>Nov</w:t>
      </w:r>
      <w:r w:rsidR="007E1823">
        <w:t>ember</w:t>
      </w:r>
      <w:r w:rsidR="007072AF" w:rsidRPr="007072AF">
        <w:t xml:space="preserve"> 1 - Oct</w:t>
      </w:r>
      <w:r w:rsidR="007E1823">
        <w:t>ober</w:t>
      </w:r>
      <w:r w:rsidR="007072AF" w:rsidRPr="007072AF">
        <w:t xml:space="preserve"> 31</w:t>
      </w:r>
      <w:r w:rsidR="00304662">
        <w:t xml:space="preserve"> from the previous year</w:t>
      </w:r>
      <w:r w:rsidR="007E1823">
        <w:t>.</w:t>
      </w:r>
    </w:p>
    <w:p w14:paraId="0004037C" w14:textId="77777777" w:rsidR="0082184B" w:rsidRDefault="0082184B" w:rsidP="007020E2">
      <w:pPr>
        <w:tabs>
          <w:tab w:val="left" w:pos="5040"/>
        </w:tabs>
        <w:spacing w:before="120" w:after="0" w:line="240" w:lineRule="auto"/>
        <w:ind w:left="5040" w:hanging="3960"/>
      </w:pPr>
    </w:p>
    <w:p w14:paraId="3B700DD4" w14:textId="70B5306F" w:rsidR="007020E2" w:rsidRDefault="007020E2" w:rsidP="004C032F">
      <w:pPr>
        <w:pStyle w:val="ListParagraph"/>
        <w:numPr>
          <w:ilvl w:val="0"/>
          <w:numId w:val="7"/>
        </w:numPr>
        <w:tabs>
          <w:tab w:val="left" w:pos="5040"/>
        </w:tabs>
        <w:spacing w:before="120" w:after="0" w:line="240" w:lineRule="auto"/>
      </w:pPr>
      <w:r>
        <w:t>MISO Transmission Charge</w:t>
      </w:r>
      <w:r>
        <w:tab/>
        <w:t>$1.535 per kW times Monthly Billing Demand</w:t>
      </w:r>
    </w:p>
    <w:p w14:paraId="54CF6258" w14:textId="77777777" w:rsidR="007020E2" w:rsidRDefault="007020E2" w:rsidP="007020E2">
      <w:pPr>
        <w:spacing w:after="0" w:line="240" w:lineRule="auto"/>
        <w:ind w:left="1080"/>
        <w:jc w:val="both"/>
      </w:pPr>
    </w:p>
    <w:p w14:paraId="63978220" w14:textId="720FFC32" w:rsidR="007020E2" w:rsidRDefault="007020E2" w:rsidP="003F16D7">
      <w:pPr>
        <w:spacing w:after="0" w:line="240" w:lineRule="auto"/>
        <w:ind w:left="1440"/>
        <w:jc w:val="both"/>
      </w:pPr>
      <w:r>
        <w:t>Applicable to all AR Members. The Agency will review and update the MISO Transmission Charge annually, and more frequently if needed, to reflect changes in MISO transmission costs.</w:t>
      </w:r>
    </w:p>
    <w:p w14:paraId="417FB102" w14:textId="77777777" w:rsidR="006F61C2" w:rsidRDefault="006F61C2" w:rsidP="003F16D7">
      <w:pPr>
        <w:spacing w:after="0" w:line="240" w:lineRule="auto"/>
        <w:ind w:left="1440"/>
        <w:jc w:val="both"/>
      </w:pPr>
    </w:p>
    <w:p w14:paraId="769C488E" w14:textId="77777777" w:rsidR="00FC20E4" w:rsidRDefault="00FC20E4" w:rsidP="00F72709">
      <w:pPr>
        <w:spacing w:after="0" w:line="240" w:lineRule="auto"/>
        <w:jc w:val="both"/>
      </w:pPr>
    </w:p>
    <w:p w14:paraId="237262C1" w14:textId="28240274" w:rsidR="00A87A93" w:rsidRDefault="00FD7F97" w:rsidP="004C032F">
      <w:pPr>
        <w:pStyle w:val="ListParagraph"/>
        <w:numPr>
          <w:ilvl w:val="0"/>
          <w:numId w:val="7"/>
        </w:numPr>
        <w:spacing w:after="0" w:line="240" w:lineRule="auto"/>
        <w:jc w:val="both"/>
      </w:pPr>
      <w:r>
        <w:t xml:space="preserve">LGE/KU </w:t>
      </w:r>
      <w:r w:rsidR="00FB14FF">
        <w:t xml:space="preserve">Wholesale Distribution Service </w:t>
      </w:r>
      <w:r w:rsidR="00D6732C">
        <w:t>Charge</w:t>
      </w:r>
      <w:r w:rsidR="00325F5C">
        <w:t xml:space="preserve"> </w:t>
      </w:r>
      <w:r w:rsidR="004E3722">
        <w:t xml:space="preserve">per </w:t>
      </w:r>
      <w:r w:rsidR="00A83F70">
        <w:t xml:space="preserve">Section </w:t>
      </w:r>
      <w:r w:rsidR="00D51CEC">
        <w:t>8</w:t>
      </w:r>
      <w:r w:rsidR="00A83F70">
        <w:t xml:space="preserve"> of this Rate Schedule</w:t>
      </w:r>
    </w:p>
    <w:p w14:paraId="087EE114" w14:textId="4224FC8E" w:rsidR="00781758" w:rsidRDefault="00781758" w:rsidP="00781758">
      <w:pPr>
        <w:spacing w:after="0" w:line="240" w:lineRule="auto"/>
        <w:jc w:val="both"/>
      </w:pPr>
    </w:p>
    <w:p w14:paraId="1FF9AABB" w14:textId="77777777" w:rsidR="00781758" w:rsidRDefault="00781758" w:rsidP="003B2176">
      <w:pPr>
        <w:spacing w:after="0" w:line="240" w:lineRule="auto"/>
        <w:jc w:val="both"/>
      </w:pPr>
    </w:p>
    <w:p w14:paraId="48936544" w14:textId="01F550ED" w:rsidR="00910906" w:rsidRDefault="00B80FA5" w:rsidP="00F72709">
      <w:pPr>
        <w:pStyle w:val="ListParagraph"/>
        <w:numPr>
          <w:ilvl w:val="0"/>
          <w:numId w:val="1"/>
        </w:numPr>
        <w:spacing w:after="0" w:line="240" w:lineRule="auto"/>
        <w:jc w:val="both"/>
        <w:rPr>
          <w:u w:val="single"/>
        </w:rPr>
      </w:pPr>
      <w:r w:rsidRPr="002F4F4A">
        <w:rPr>
          <w:u w:val="single"/>
        </w:rPr>
        <w:lastRenderedPageBreak/>
        <w:t xml:space="preserve">Billing </w:t>
      </w:r>
      <w:r w:rsidR="00685224">
        <w:rPr>
          <w:u w:val="single"/>
        </w:rPr>
        <w:t>Determinants</w:t>
      </w:r>
    </w:p>
    <w:p w14:paraId="59A0C62E" w14:textId="77777777" w:rsidR="002F4F4A" w:rsidRPr="002F4F4A" w:rsidRDefault="002F4F4A" w:rsidP="00F72709">
      <w:pPr>
        <w:spacing w:after="0" w:line="240" w:lineRule="auto"/>
        <w:jc w:val="both"/>
        <w:rPr>
          <w:u w:val="single"/>
        </w:rPr>
      </w:pPr>
    </w:p>
    <w:p w14:paraId="50A1F2A8" w14:textId="5EE97E86" w:rsidR="00AC4188" w:rsidRDefault="00AC4188" w:rsidP="00F72709">
      <w:pPr>
        <w:spacing w:after="0" w:line="240" w:lineRule="auto"/>
        <w:ind w:left="360"/>
        <w:jc w:val="both"/>
      </w:pPr>
      <w:r>
        <w:t xml:space="preserve">Monthly Billing Demand is the </w:t>
      </w:r>
      <w:r w:rsidR="003D52F5">
        <w:t xml:space="preserve">Member’s Monthly Non-Coincident Billing Demand, except that for the months of </w:t>
      </w:r>
      <w:r w:rsidR="00C91BB4">
        <w:t xml:space="preserve">December, </w:t>
      </w:r>
      <w:r w:rsidR="003D52F5">
        <w:t xml:space="preserve">January, February, and March, it is </w:t>
      </w:r>
      <w:r w:rsidRPr="00B55EB3">
        <w:rPr>
          <w:u w:val="single"/>
        </w:rPr>
        <w:t>lesser of</w:t>
      </w:r>
      <w:r>
        <w:t xml:space="preserve"> (a) </w:t>
      </w:r>
      <w:r w:rsidR="00DF4394">
        <w:t xml:space="preserve">the </w:t>
      </w:r>
      <w:r w:rsidR="00FB14FF">
        <w:t xml:space="preserve">Member’s </w:t>
      </w:r>
      <w:r w:rsidR="00360D16">
        <w:t xml:space="preserve">Monthly </w:t>
      </w:r>
      <w:r>
        <w:t xml:space="preserve">Non-Coincident Billing Demand or (b) the average of </w:t>
      </w:r>
      <w:r w:rsidR="00DF4394">
        <w:t xml:space="preserve">the </w:t>
      </w:r>
      <w:r w:rsidR="00FB14FF">
        <w:t xml:space="preserve">Member’s </w:t>
      </w:r>
      <w:r w:rsidR="007175B5">
        <w:t xml:space="preserve">maximum </w:t>
      </w:r>
      <w:r w:rsidR="00360D16">
        <w:t xml:space="preserve">Monthly </w:t>
      </w:r>
      <w:r>
        <w:t xml:space="preserve">Non-Coincident Billing </w:t>
      </w:r>
      <w:r w:rsidR="00542AD5">
        <w:t xml:space="preserve">Demand </w:t>
      </w:r>
      <w:r>
        <w:t xml:space="preserve">occurring in </w:t>
      </w:r>
      <w:r w:rsidR="00E63D0A">
        <w:t xml:space="preserve">each of </w:t>
      </w:r>
      <w:r>
        <w:t xml:space="preserve">the preceding </w:t>
      </w:r>
      <w:r w:rsidR="00A81ADC">
        <w:t xml:space="preserve">three </w:t>
      </w:r>
      <w:r>
        <w:t xml:space="preserve">summer </w:t>
      </w:r>
      <w:r w:rsidR="00CF454F">
        <w:t>seasons</w:t>
      </w:r>
      <w:r>
        <w:t xml:space="preserve"> (June, July, and August</w:t>
      </w:r>
      <w:r w:rsidR="00A81ADC">
        <w:t>)</w:t>
      </w:r>
      <w:r w:rsidR="00DF4394">
        <w:t>.</w:t>
      </w:r>
    </w:p>
    <w:p w14:paraId="08BC37CF" w14:textId="77777777" w:rsidR="00AC4188" w:rsidRDefault="00AC4188" w:rsidP="00F72709">
      <w:pPr>
        <w:spacing w:after="0" w:line="240" w:lineRule="auto"/>
        <w:ind w:left="360"/>
        <w:jc w:val="both"/>
      </w:pPr>
    </w:p>
    <w:p w14:paraId="704A84E6" w14:textId="657D8570" w:rsidR="00316194" w:rsidRDefault="003D52F5" w:rsidP="00F72709">
      <w:pPr>
        <w:spacing w:after="0" w:line="240" w:lineRule="auto"/>
        <w:ind w:left="360"/>
        <w:jc w:val="both"/>
      </w:pPr>
      <w:r>
        <w:t xml:space="preserve">Monthly </w:t>
      </w:r>
      <w:r w:rsidR="00316194">
        <w:t xml:space="preserve">Non-Coincident Billing Demand is the </w:t>
      </w:r>
      <w:r w:rsidR="002A302D">
        <w:t xml:space="preserve">highest average </w:t>
      </w:r>
      <w:r w:rsidR="00316194">
        <w:t xml:space="preserve">kW </w:t>
      </w:r>
      <w:r w:rsidR="00AE2542">
        <w:t xml:space="preserve">demand </w:t>
      </w:r>
      <w:r w:rsidR="00BD4ADA">
        <w:t xml:space="preserve">during </w:t>
      </w:r>
      <w:r w:rsidR="002A302D">
        <w:t>a 60-minute period ending on a clock hour</w:t>
      </w:r>
      <w:r w:rsidR="00021167">
        <w:t xml:space="preserve"> of the Member’s </w:t>
      </w:r>
      <w:r w:rsidR="00937F39">
        <w:t>total l</w:t>
      </w:r>
      <w:r w:rsidR="00021167">
        <w:t>oad</w:t>
      </w:r>
      <w:r w:rsidR="00685224">
        <w:t xml:space="preserve"> during the monthly billing period</w:t>
      </w:r>
      <w:r w:rsidR="00021167">
        <w:t xml:space="preserve">. For Members with multiple delivery points, the </w:t>
      </w:r>
      <w:r w:rsidR="00937F39">
        <w:t xml:space="preserve">Member’s total load is the </w:t>
      </w:r>
      <w:r w:rsidR="00021167">
        <w:t>aggregated load</w:t>
      </w:r>
      <w:r w:rsidR="001D5052">
        <w:t xml:space="preserve"> </w:t>
      </w:r>
      <w:r w:rsidR="00121A24">
        <w:t xml:space="preserve">of </w:t>
      </w:r>
      <w:r w:rsidR="001D5052">
        <w:t>all delivery points</w:t>
      </w:r>
      <w:r w:rsidR="00685224">
        <w:t xml:space="preserve"> </w:t>
      </w:r>
      <w:r w:rsidR="000474D5">
        <w:t>each</w:t>
      </w:r>
      <w:r w:rsidR="00685224">
        <w:t xml:space="preserve"> hour</w:t>
      </w:r>
      <w:r w:rsidR="00021167">
        <w:t>.</w:t>
      </w:r>
    </w:p>
    <w:p w14:paraId="713A36C7" w14:textId="77777777" w:rsidR="00316194" w:rsidRDefault="00316194" w:rsidP="00F72709">
      <w:pPr>
        <w:spacing w:after="0" w:line="240" w:lineRule="auto"/>
        <w:jc w:val="both"/>
      </w:pPr>
    </w:p>
    <w:p w14:paraId="2EF4DC0F" w14:textId="26669C66" w:rsidR="00316194" w:rsidRDefault="00685224" w:rsidP="00F72709">
      <w:pPr>
        <w:spacing w:after="0" w:line="240" w:lineRule="auto"/>
        <w:ind w:left="360"/>
        <w:jc w:val="both"/>
      </w:pPr>
      <w:r>
        <w:t xml:space="preserve">Monthly </w:t>
      </w:r>
      <w:r w:rsidR="00316194">
        <w:t>Transmissi</w:t>
      </w:r>
      <w:r w:rsidR="00021167">
        <w:t xml:space="preserve">on Billing Demand is the Member’s </w:t>
      </w:r>
      <w:r w:rsidR="00B4790C">
        <w:t xml:space="preserve">average </w:t>
      </w:r>
      <w:r w:rsidR="00021167">
        <w:t xml:space="preserve">kW </w:t>
      </w:r>
      <w:r w:rsidR="00AE2542">
        <w:t xml:space="preserve">demand </w:t>
      </w:r>
      <w:r w:rsidR="00B4790C">
        <w:t>during</w:t>
      </w:r>
      <w:r w:rsidR="00021167">
        <w:t xml:space="preserve"> LGE/KU’s transmission system peak hour</w:t>
      </w:r>
      <w:r>
        <w:t xml:space="preserve"> during the monthly billing period</w:t>
      </w:r>
      <w:r w:rsidR="00341820">
        <w:t>. This is commonly referred to as the Member</w:t>
      </w:r>
      <w:r w:rsidR="00CE428A">
        <w:t>’</w:t>
      </w:r>
      <w:r w:rsidR="00341820">
        <w:t xml:space="preserve">s demand </w:t>
      </w:r>
      <w:r w:rsidR="00021167">
        <w:t xml:space="preserve">coincident with the LGE/KU </w:t>
      </w:r>
      <w:r>
        <w:t xml:space="preserve">monthly </w:t>
      </w:r>
      <w:r w:rsidR="00021167">
        <w:t>transmission system peak</w:t>
      </w:r>
      <w:r w:rsidR="0025568F">
        <w:t xml:space="preserve"> demand</w:t>
      </w:r>
      <w:r w:rsidR="00021167">
        <w:t>.</w:t>
      </w:r>
      <w:r w:rsidR="00316194">
        <w:t xml:space="preserve"> </w:t>
      </w:r>
    </w:p>
    <w:p w14:paraId="0385BC53" w14:textId="77777777" w:rsidR="00685224" w:rsidRDefault="00685224" w:rsidP="00F72709">
      <w:pPr>
        <w:spacing w:after="0" w:line="240" w:lineRule="auto"/>
        <w:ind w:left="360"/>
        <w:jc w:val="both"/>
      </w:pPr>
    </w:p>
    <w:p w14:paraId="748380A3" w14:textId="547AA0CB" w:rsidR="00186297" w:rsidRDefault="00186297" w:rsidP="00186297">
      <w:pPr>
        <w:spacing w:after="0" w:line="240" w:lineRule="auto"/>
        <w:ind w:left="360"/>
        <w:jc w:val="both"/>
      </w:pPr>
      <w:r>
        <w:t xml:space="preserve">Annual Transmission Billing Demand is the Member’s average kW demand during </w:t>
      </w:r>
      <w:r w:rsidR="00D51CEC">
        <w:t>PJM-</w:t>
      </w:r>
      <w:r>
        <w:t xml:space="preserve">EKPC’s transmission system peak hour during the annual billing period. This is commonly referred to as the Member’s demand coincident with the </w:t>
      </w:r>
      <w:r w:rsidR="00D51CEC">
        <w:t>PJM-</w:t>
      </w:r>
      <w:r>
        <w:t xml:space="preserve">EKPC annual transmission system peak demand. </w:t>
      </w:r>
    </w:p>
    <w:p w14:paraId="16D6B14B" w14:textId="77777777" w:rsidR="00186297" w:rsidRDefault="00186297" w:rsidP="00F72709">
      <w:pPr>
        <w:spacing w:after="0" w:line="240" w:lineRule="auto"/>
        <w:ind w:left="360"/>
        <w:jc w:val="both"/>
      </w:pPr>
    </w:p>
    <w:p w14:paraId="3C967B8B" w14:textId="73EAEEC3" w:rsidR="00685224" w:rsidRDefault="00685224" w:rsidP="00F72709">
      <w:pPr>
        <w:spacing w:after="0" w:line="240" w:lineRule="auto"/>
        <w:ind w:left="360"/>
        <w:jc w:val="both"/>
      </w:pPr>
      <w:r>
        <w:t xml:space="preserve">Monthly Energy </w:t>
      </w:r>
      <w:r w:rsidR="005105D3">
        <w:t>Requirement</w:t>
      </w:r>
      <w:r>
        <w:t xml:space="preserve"> is the total amount of energy</w:t>
      </w:r>
      <w:r w:rsidR="001E12E6">
        <w:t xml:space="preserve"> supplied to the Member during the monthly billing period, as determined in accordance with the Contract.</w:t>
      </w:r>
    </w:p>
    <w:p w14:paraId="723F11DE" w14:textId="72E8AA2D" w:rsidR="0064544B" w:rsidRDefault="0064544B" w:rsidP="00F72709">
      <w:pPr>
        <w:spacing w:after="0" w:line="240" w:lineRule="auto"/>
        <w:ind w:left="360"/>
        <w:jc w:val="both"/>
      </w:pPr>
    </w:p>
    <w:p w14:paraId="62D56FFD" w14:textId="7D12889B" w:rsidR="0064544B" w:rsidRDefault="0064544B" w:rsidP="00F72709">
      <w:pPr>
        <w:spacing w:after="0" w:line="240" w:lineRule="auto"/>
        <w:ind w:left="360"/>
        <w:jc w:val="both"/>
      </w:pPr>
      <w:r>
        <w:t xml:space="preserve">Monthly </w:t>
      </w:r>
      <w:r w:rsidR="00E36132">
        <w:t>Billing Demand, Monthly Transmission Billing Demand</w:t>
      </w:r>
      <w:r w:rsidR="004502FE">
        <w:t>, Annual Transmission Billing Demand</w:t>
      </w:r>
      <w:r w:rsidR="00E36132">
        <w:t xml:space="preserve">, and Monthly Energy </w:t>
      </w:r>
      <w:r w:rsidR="005105D3">
        <w:t>Requirement</w:t>
      </w:r>
      <w:r w:rsidR="00E36132">
        <w:t xml:space="preserve"> </w:t>
      </w:r>
      <w:r w:rsidR="00F25B8B">
        <w:t xml:space="preserve">shall be </w:t>
      </w:r>
      <w:r w:rsidR="003C3F79">
        <w:t xml:space="preserve">based on load </w:t>
      </w:r>
      <w:r w:rsidR="00F25B8B">
        <w:t>metered at</w:t>
      </w:r>
      <w:r w:rsidR="00395D71">
        <w:t>, or appropriate</w:t>
      </w:r>
      <w:r w:rsidR="00275FB9">
        <w:t xml:space="preserve">ly </w:t>
      </w:r>
      <w:r w:rsidR="00395D71">
        <w:t xml:space="preserve">compensated for losses to </w:t>
      </w:r>
      <w:r w:rsidR="00E1583F">
        <w:t xml:space="preserve">the </w:t>
      </w:r>
      <w:r w:rsidR="00855120">
        <w:t>high-voltage side of delivery substation</w:t>
      </w:r>
      <w:r w:rsidR="00293CB0">
        <w:t>s</w:t>
      </w:r>
      <w:r w:rsidR="00395D71">
        <w:t xml:space="preserve"> </w:t>
      </w:r>
      <w:r w:rsidR="00E1583F">
        <w:t>connecting</w:t>
      </w:r>
      <w:r w:rsidR="009C2302">
        <w:t xml:space="preserve"> the Member</w:t>
      </w:r>
      <w:r w:rsidR="00E1583F">
        <w:t>’s system to the applicable transmission system</w:t>
      </w:r>
      <w:r w:rsidR="009C2302">
        <w:t>.</w:t>
      </w:r>
      <w:r w:rsidR="00395D71">
        <w:t xml:space="preserve"> </w:t>
      </w:r>
    </w:p>
    <w:p w14:paraId="4FEA8C6D" w14:textId="741A0298" w:rsidR="00C10063" w:rsidRDefault="00C10063" w:rsidP="00F72709">
      <w:pPr>
        <w:spacing w:after="0" w:line="240" w:lineRule="auto"/>
        <w:ind w:left="360"/>
        <w:jc w:val="both"/>
      </w:pPr>
    </w:p>
    <w:p w14:paraId="054CF51B" w14:textId="32A873C0" w:rsidR="000853B7" w:rsidRDefault="001C341F" w:rsidP="00F72709">
      <w:pPr>
        <w:spacing w:after="0" w:line="240" w:lineRule="auto"/>
        <w:ind w:left="360"/>
        <w:jc w:val="both"/>
      </w:pPr>
      <w:r>
        <w:t>Monthly Billing Demand, Monthly Transmission Billing Demand</w:t>
      </w:r>
      <w:r w:rsidR="001327BD">
        <w:t>, Annual Transmission Billing Demand</w:t>
      </w:r>
      <w:r>
        <w:t>, and Monthly Energy Requirement shall be determined</w:t>
      </w:r>
      <w:r w:rsidR="001313B5">
        <w:t>,</w:t>
      </w:r>
      <w:r>
        <w:t xml:space="preserve"> including any </w:t>
      </w:r>
      <w:r w:rsidR="00950735">
        <w:t xml:space="preserve">load or </w:t>
      </w:r>
      <w:r w:rsidR="0015502B">
        <w:t>usage on the Member’s system directly serv</w:t>
      </w:r>
      <w:r w:rsidR="00950735">
        <w:t>ed</w:t>
      </w:r>
      <w:r w:rsidR="0015502B">
        <w:t xml:space="preserve"> from </w:t>
      </w:r>
      <w:r w:rsidR="00C5245D">
        <w:t>a</w:t>
      </w:r>
      <w:r w:rsidR="0015502B">
        <w:t xml:space="preserve"> </w:t>
      </w:r>
      <w:r w:rsidRPr="00075881">
        <w:rPr>
          <w:color w:val="020202"/>
        </w:rPr>
        <w:t>Member-Owned Resource</w:t>
      </w:r>
      <w:r w:rsidR="00C5245D">
        <w:rPr>
          <w:color w:val="020202"/>
        </w:rPr>
        <w:t>, if any</w:t>
      </w:r>
      <w:r w:rsidR="00605999">
        <w:rPr>
          <w:color w:val="020202"/>
        </w:rPr>
        <w:t xml:space="preserve">, as </w:t>
      </w:r>
      <w:r w:rsidR="003C3F79">
        <w:rPr>
          <w:color w:val="020202"/>
        </w:rPr>
        <w:t xml:space="preserve">provided </w:t>
      </w:r>
      <w:r w:rsidR="00605999">
        <w:rPr>
          <w:color w:val="020202"/>
        </w:rPr>
        <w:t>in the Contract</w:t>
      </w:r>
      <w:r w:rsidR="0015502B">
        <w:rPr>
          <w:color w:val="020202"/>
        </w:rPr>
        <w:t>.</w:t>
      </w:r>
    </w:p>
    <w:p w14:paraId="31788655" w14:textId="06BB79E9" w:rsidR="000853B7" w:rsidRDefault="000853B7" w:rsidP="00F72709">
      <w:pPr>
        <w:spacing w:after="0" w:line="240" w:lineRule="auto"/>
        <w:ind w:left="360"/>
        <w:jc w:val="both"/>
      </w:pPr>
    </w:p>
    <w:p w14:paraId="25C34AAA" w14:textId="1B74F3AE" w:rsidR="00910906" w:rsidRPr="002F4F4A" w:rsidRDefault="00CD7920" w:rsidP="00F72709">
      <w:pPr>
        <w:pStyle w:val="ListParagraph"/>
        <w:numPr>
          <w:ilvl w:val="0"/>
          <w:numId w:val="1"/>
        </w:numPr>
        <w:spacing w:after="0" w:line="240" w:lineRule="auto"/>
        <w:jc w:val="both"/>
        <w:rPr>
          <w:u w:val="single"/>
        </w:rPr>
      </w:pPr>
      <w:r>
        <w:rPr>
          <w:u w:val="single"/>
        </w:rPr>
        <w:t xml:space="preserve">Energy </w:t>
      </w:r>
      <w:r w:rsidR="00910906" w:rsidRPr="002F4F4A">
        <w:rPr>
          <w:u w:val="single"/>
        </w:rPr>
        <w:t xml:space="preserve">Cost Adjustment </w:t>
      </w:r>
      <w:r>
        <w:rPr>
          <w:u w:val="single"/>
        </w:rPr>
        <w:t>(E</w:t>
      </w:r>
      <w:r w:rsidR="00C45D01">
        <w:rPr>
          <w:u w:val="single"/>
        </w:rPr>
        <w:t>CA</w:t>
      </w:r>
      <w:r>
        <w:rPr>
          <w:u w:val="single"/>
        </w:rPr>
        <w:t>)</w:t>
      </w:r>
    </w:p>
    <w:p w14:paraId="272E7241" w14:textId="509515B7" w:rsidR="00DD401F" w:rsidRPr="00DD401F" w:rsidRDefault="00DD401F" w:rsidP="00DD401F">
      <w:pPr>
        <w:pStyle w:val="BodyText"/>
        <w:spacing w:before="240" w:after="120"/>
        <w:ind w:left="360"/>
        <w:jc w:val="both"/>
        <w:rPr>
          <w:rFonts w:asciiTheme="minorHAnsi" w:hAnsiTheme="minorHAnsi" w:cstheme="minorHAnsi"/>
          <w:sz w:val="22"/>
        </w:rPr>
      </w:pPr>
      <w:r w:rsidRPr="00DD401F">
        <w:rPr>
          <w:rFonts w:asciiTheme="minorHAnsi" w:hAnsiTheme="minorHAnsi" w:cstheme="minorHAnsi"/>
          <w:sz w:val="22"/>
        </w:rPr>
        <w:t xml:space="preserve">The Energy Cost Adjustment (ECA) shall be an amount equal to the product of the Energy Cost Adjustment Charge Factor (ECAF) times the Member’s Monthly Energy Requirement for the current billing month. </w:t>
      </w:r>
      <w:r w:rsidR="008A5C95">
        <w:rPr>
          <w:rFonts w:asciiTheme="minorHAnsi" w:hAnsiTheme="minorHAnsi" w:cstheme="minorHAnsi"/>
          <w:sz w:val="22"/>
        </w:rPr>
        <w:t xml:space="preserve">The </w:t>
      </w:r>
      <w:r w:rsidRPr="00DD401F">
        <w:rPr>
          <w:rFonts w:asciiTheme="minorHAnsi" w:hAnsiTheme="minorHAnsi" w:cstheme="minorHAnsi"/>
          <w:sz w:val="22"/>
        </w:rPr>
        <w:t xml:space="preserve">ECA shall be </w:t>
      </w:r>
      <w:r w:rsidR="008A5C95">
        <w:rPr>
          <w:rFonts w:asciiTheme="minorHAnsi" w:hAnsiTheme="minorHAnsi" w:cstheme="minorHAnsi"/>
          <w:sz w:val="22"/>
        </w:rPr>
        <w:t>included on the subsequent monthly invoice.</w:t>
      </w:r>
    </w:p>
    <w:p w14:paraId="67BD980D" w14:textId="026EFF9A" w:rsidR="00DD401F" w:rsidRPr="00DD401F" w:rsidRDefault="00DD401F" w:rsidP="00DD401F">
      <w:pPr>
        <w:pStyle w:val="BodyText"/>
        <w:spacing w:before="240" w:after="120"/>
        <w:ind w:left="360"/>
        <w:jc w:val="both"/>
        <w:rPr>
          <w:rFonts w:asciiTheme="minorHAnsi" w:hAnsiTheme="minorHAnsi" w:cstheme="minorHAnsi"/>
          <w:sz w:val="22"/>
        </w:rPr>
      </w:pPr>
      <w:r w:rsidRPr="00DD401F">
        <w:rPr>
          <w:rFonts w:asciiTheme="minorHAnsi" w:hAnsiTheme="minorHAnsi" w:cstheme="minorHAnsi"/>
          <w:sz w:val="22"/>
        </w:rPr>
        <w:t>Collection</w:t>
      </w:r>
      <w:r w:rsidR="00D37F7A">
        <w:rPr>
          <w:rFonts w:asciiTheme="minorHAnsi" w:hAnsiTheme="minorHAnsi" w:cstheme="minorHAnsi"/>
          <w:sz w:val="22"/>
        </w:rPr>
        <w:t xml:space="preserve"> of the ECA</w:t>
      </w:r>
      <w:r w:rsidRPr="00DD401F">
        <w:rPr>
          <w:rFonts w:asciiTheme="minorHAnsi" w:hAnsiTheme="minorHAnsi" w:cstheme="minorHAnsi"/>
          <w:sz w:val="22"/>
        </w:rPr>
        <w:t xml:space="preserve"> shall be applied as follows:</w:t>
      </w:r>
    </w:p>
    <w:p w14:paraId="7CA45782" w14:textId="44FB9F8C" w:rsidR="00DD401F" w:rsidRPr="00DD401F" w:rsidRDefault="00DD401F" w:rsidP="0073030C">
      <w:pPr>
        <w:pStyle w:val="BodyText"/>
        <w:spacing w:before="240" w:after="120"/>
        <w:ind w:left="720"/>
        <w:jc w:val="both"/>
        <w:rPr>
          <w:rFonts w:asciiTheme="minorHAnsi" w:hAnsiTheme="minorHAnsi" w:cstheme="minorHAnsi"/>
          <w:sz w:val="22"/>
        </w:rPr>
      </w:pPr>
      <w:r w:rsidRPr="00DD401F">
        <w:rPr>
          <w:rFonts w:asciiTheme="minorHAnsi" w:hAnsiTheme="minorHAnsi" w:cstheme="minorHAnsi"/>
          <w:sz w:val="22"/>
        </w:rPr>
        <w:t xml:space="preserve">If the computed average Days Cash </w:t>
      </w:r>
      <w:r w:rsidR="0056081E">
        <w:rPr>
          <w:rFonts w:asciiTheme="minorHAnsi" w:hAnsiTheme="minorHAnsi" w:cstheme="minorHAnsi"/>
          <w:sz w:val="22"/>
        </w:rPr>
        <w:t>o</w:t>
      </w:r>
      <w:r w:rsidRPr="00DD401F">
        <w:rPr>
          <w:rFonts w:asciiTheme="minorHAnsi" w:hAnsiTheme="minorHAnsi" w:cstheme="minorHAnsi"/>
          <w:sz w:val="22"/>
        </w:rPr>
        <w:t>n Hand for</w:t>
      </w:r>
      <w:r w:rsidR="00D51CEC">
        <w:rPr>
          <w:rFonts w:asciiTheme="minorHAnsi" w:hAnsiTheme="minorHAnsi" w:cstheme="minorHAnsi"/>
          <w:sz w:val="22"/>
        </w:rPr>
        <w:t xml:space="preserve"> any</w:t>
      </w:r>
      <w:r w:rsidRPr="00DD401F">
        <w:rPr>
          <w:rFonts w:asciiTheme="minorHAnsi" w:hAnsiTheme="minorHAnsi" w:cstheme="minorHAnsi"/>
          <w:sz w:val="22"/>
        </w:rPr>
        <w:t xml:space="preserve"> three consecutive months &lt; the average </w:t>
      </w:r>
      <w:r w:rsidRPr="00DD401F">
        <w:rPr>
          <w:rFonts w:asciiTheme="minorHAnsi" w:hAnsiTheme="minorHAnsi" w:cstheme="minorHAnsi"/>
          <w:sz w:val="22"/>
        </w:rPr>
        <w:lastRenderedPageBreak/>
        <w:t xml:space="preserve">computed Minimum Target Days Cash </w:t>
      </w:r>
      <w:r w:rsidR="0056081E">
        <w:rPr>
          <w:rFonts w:asciiTheme="minorHAnsi" w:hAnsiTheme="minorHAnsi" w:cstheme="minorHAnsi"/>
          <w:sz w:val="22"/>
        </w:rPr>
        <w:t>o</w:t>
      </w:r>
      <w:r w:rsidRPr="00DD401F">
        <w:rPr>
          <w:rFonts w:asciiTheme="minorHAnsi" w:hAnsiTheme="minorHAnsi" w:cstheme="minorHAnsi"/>
          <w:sz w:val="22"/>
        </w:rPr>
        <w:t>n Hand for th</w:t>
      </w:r>
      <w:r w:rsidR="00D51CEC">
        <w:rPr>
          <w:rFonts w:asciiTheme="minorHAnsi" w:hAnsiTheme="minorHAnsi" w:cstheme="minorHAnsi"/>
          <w:sz w:val="22"/>
        </w:rPr>
        <w:t>ose same th</w:t>
      </w:r>
      <w:r w:rsidRPr="00DD401F">
        <w:rPr>
          <w:rFonts w:asciiTheme="minorHAnsi" w:hAnsiTheme="minorHAnsi" w:cstheme="minorHAnsi"/>
          <w:sz w:val="22"/>
        </w:rPr>
        <w:t>ree consecutive month</w:t>
      </w:r>
      <w:r w:rsidR="00D51CEC">
        <w:rPr>
          <w:rFonts w:asciiTheme="minorHAnsi" w:hAnsiTheme="minorHAnsi" w:cstheme="minorHAnsi"/>
          <w:sz w:val="22"/>
        </w:rPr>
        <w:t>s as set forth in Table 6.1</w:t>
      </w:r>
      <w:r w:rsidRPr="00DD401F">
        <w:rPr>
          <w:rFonts w:asciiTheme="minorHAnsi" w:hAnsiTheme="minorHAnsi" w:cstheme="minorHAnsi"/>
          <w:sz w:val="22"/>
        </w:rPr>
        <w:t xml:space="preserve">, then the ECA shall be computed and collected. </w:t>
      </w:r>
    </w:p>
    <w:p w14:paraId="3AE66DA7" w14:textId="77777777" w:rsidR="00090E0B" w:rsidRDefault="00090E0B">
      <w:pPr>
        <w:rPr>
          <w:rFonts w:eastAsia="Times New Roman" w:cstheme="minorHAnsi"/>
          <w:szCs w:val="20"/>
        </w:rPr>
      </w:pPr>
      <w:r>
        <w:rPr>
          <w:rFonts w:cstheme="minorHAnsi"/>
        </w:rPr>
        <w:br w:type="page"/>
      </w:r>
    </w:p>
    <w:p w14:paraId="6121DAB5" w14:textId="72F4F84C" w:rsidR="00DD401F" w:rsidRPr="00DD401F" w:rsidRDefault="00D37F7A" w:rsidP="00DD401F">
      <w:pPr>
        <w:pStyle w:val="BodyText"/>
        <w:spacing w:before="240" w:after="120"/>
        <w:ind w:left="360"/>
        <w:jc w:val="both"/>
        <w:rPr>
          <w:rFonts w:asciiTheme="minorHAnsi" w:hAnsiTheme="minorHAnsi" w:cstheme="minorHAnsi"/>
          <w:sz w:val="22"/>
        </w:rPr>
      </w:pPr>
      <w:r>
        <w:rPr>
          <w:rFonts w:asciiTheme="minorHAnsi" w:hAnsiTheme="minorHAnsi" w:cstheme="minorHAnsi"/>
          <w:sz w:val="22"/>
        </w:rPr>
        <w:lastRenderedPageBreak/>
        <w:t>Credit of the</w:t>
      </w:r>
      <w:r w:rsidRPr="00DD401F">
        <w:rPr>
          <w:rFonts w:asciiTheme="minorHAnsi" w:hAnsiTheme="minorHAnsi" w:cstheme="minorHAnsi"/>
          <w:sz w:val="22"/>
        </w:rPr>
        <w:t xml:space="preserve"> </w:t>
      </w:r>
      <w:r w:rsidR="00DD401F" w:rsidRPr="00DD401F">
        <w:rPr>
          <w:rFonts w:asciiTheme="minorHAnsi" w:hAnsiTheme="minorHAnsi" w:cstheme="minorHAnsi"/>
          <w:sz w:val="22"/>
        </w:rPr>
        <w:t>ECA shall be applied as follows:</w:t>
      </w:r>
    </w:p>
    <w:p w14:paraId="52C5AE1E" w14:textId="4F460D52" w:rsidR="00DD401F" w:rsidRPr="00DD401F" w:rsidRDefault="00DD401F" w:rsidP="0073030C">
      <w:pPr>
        <w:pStyle w:val="BodyText"/>
        <w:spacing w:before="240" w:after="120"/>
        <w:ind w:left="720"/>
        <w:jc w:val="both"/>
        <w:rPr>
          <w:rFonts w:asciiTheme="minorHAnsi" w:hAnsiTheme="minorHAnsi" w:cstheme="minorHAnsi"/>
          <w:sz w:val="22"/>
        </w:rPr>
      </w:pPr>
      <w:r w:rsidRPr="00DD401F">
        <w:rPr>
          <w:rFonts w:asciiTheme="minorHAnsi" w:hAnsiTheme="minorHAnsi" w:cstheme="minorHAnsi"/>
          <w:sz w:val="22"/>
        </w:rPr>
        <w:t xml:space="preserve">If the </w:t>
      </w:r>
      <w:r w:rsidR="00333D90">
        <w:rPr>
          <w:rFonts w:asciiTheme="minorHAnsi" w:hAnsiTheme="minorHAnsi" w:cstheme="minorHAnsi"/>
          <w:sz w:val="22"/>
        </w:rPr>
        <w:t xml:space="preserve">current month’s </w:t>
      </w:r>
      <w:r w:rsidRPr="00DD401F">
        <w:rPr>
          <w:rFonts w:asciiTheme="minorHAnsi" w:hAnsiTheme="minorHAnsi" w:cstheme="minorHAnsi"/>
          <w:sz w:val="22"/>
        </w:rPr>
        <w:t xml:space="preserve">Days Cash </w:t>
      </w:r>
      <w:r w:rsidR="00DA1B12" w:rsidRPr="00DD401F">
        <w:rPr>
          <w:rFonts w:asciiTheme="minorHAnsi" w:hAnsiTheme="minorHAnsi" w:cstheme="minorHAnsi"/>
          <w:sz w:val="22"/>
        </w:rPr>
        <w:t>on</w:t>
      </w:r>
      <w:r w:rsidRPr="00DD401F">
        <w:rPr>
          <w:rFonts w:asciiTheme="minorHAnsi" w:hAnsiTheme="minorHAnsi" w:cstheme="minorHAnsi"/>
          <w:sz w:val="22"/>
        </w:rPr>
        <w:t xml:space="preserve"> Hand &gt; the Maximum Days Cash </w:t>
      </w:r>
      <w:r w:rsidR="00DA1B12" w:rsidRPr="00DD401F">
        <w:rPr>
          <w:rFonts w:asciiTheme="minorHAnsi" w:hAnsiTheme="minorHAnsi" w:cstheme="minorHAnsi"/>
          <w:sz w:val="22"/>
        </w:rPr>
        <w:t>on</w:t>
      </w:r>
      <w:r w:rsidRPr="00DD401F">
        <w:rPr>
          <w:rFonts w:asciiTheme="minorHAnsi" w:hAnsiTheme="minorHAnsi" w:cstheme="minorHAnsi"/>
          <w:sz w:val="22"/>
        </w:rPr>
        <w:t xml:space="preserve"> Hand</w:t>
      </w:r>
      <w:r w:rsidR="00333D90">
        <w:rPr>
          <w:rFonts w:asciiTheme="minorHAnsi" w:hAnsiTheme="minorHAnsi" w:cstheme="minorHAnsi"/>
          <w:sz w:val="22"/>
        </w:rPr>
        <w:t xml:space="preserve"> for the same month</w:t>
      </w:r>
      <w:r w:rsidRPr="00DD401F">
        <w:rPr>
          <w:rFonts w:asciiTheme="minorHAnsi" w:hAnsiTheme="minorHAnsi" w:cstheme="minorHAnsi"/>
          <w:sz w:val="22"/>
        </w:rPr>
        <w:t xml:space="preserve">, then the ECA shall be computed and </w:t>
      </w:r>
      <w:r w:rsidR="00333D90">
        <w:rPr>
          <w:rFonts w:asciiTheme="minorHAnsi" w:hAnsiTheme="minorHAnsi" w:cstheme="minorHAnsi"/>
          <w:sz w:val="22"/>
        </w:rPr>
        <w:t>credited</w:t>
      </w:r>
      <w:r w:rsidRPr="00DD401F">
        <w:rPr>
          <w:rFonts w:asciiTheme="minorHAnsi" w:hAnsiTheme="minorHAnsi" w:cstheme="minorHAnsi"/>
          <w:sz w:val="22"/>
        </w:rPr>
        <w:t>.</w:t>
      </w:r>
    </w:p>
    <w:p w14:paraId="45E0E6EF" w14:textId="77777777" w:rsidR="00DD401F" w:rsidRPr="00DD401F" w:rsidRDefault="00DD401F" w:rsidP="00DD401F">
      <w:pPr>
        <w:pStyle w:val="BodyText"/>
        <w:spacing w:before="240" w:after="120"/>
        <w:ind w:left="360"/>
        <w:jc w:val="both"/>
        <w:rPr>
          <w:rFonts w:asciiTheme="minorHAnsi" w:hAnsiTheme="minorHAnsi" w:cstheme="minorHAnsi"/>
          <w:sz w:val="22"/>
        </w:rPr>
      </w:pPr>
      <w:r w:rsidRPr="00DD401F">
        <w:rPr>
          <w:rFonts w:asciiTheme="minorHAnsi" w:hAnsiTheme="minorHAnsi" w:cstheme="minorHAnsi"/>
          <w:sz w:val="22"/>
        </w:rPr>
        <w:t>Where:</w:t>
      </w:r>
    </w:p>
    <w:p w14:paraId="35BAABB5" w14:textId="5642E778" w:rsidR="00DD401F" w:rsidRPr="00DD401F" w:rsidRDefault="00DD401F" w:rsidP="00A73B49">
      <w:pPr>
        <w:pStyle w:val="BodyText"/>
        <w:spacing w:before="240" w:after="120"/>
        <w:ind w:left="720"/>
        <w:jc w:val="both"/>
        <w:rPr>
          <w:rFonts w:asciiTheme="minorHAnsi" w:hAnsiTheme="minorHAnsi" w:cstheme="minorHAnsi"/>
          <w:sz w:val="22"/>
        </w:rPr>
      </w:pPr>
      <w:r w:rsidRPr="00DD401F">
        <w:rPr>
          <w:rFonts w:asciiTheme="minorHAnsi" w:hAnsiTheme="minorHAnsi" w:cstheme="minorHAnsi"/>
          <w:sz w:val="22"/>
        </w:rPr>
        <w:t>The ECAF shall be $0.003/kWh.</w:t>
      </w:r>
    </w:p>
    <w:p w14:paraId="555A1359" w14:textId="07F9A293" w:rsidR="00DD401F" w:rsidRDefault="00DD401F" w:rsidP="00A73B49">
      <w:pPr>
        <w:pStyle w:val="BodyText"/>
        <w:spacing w:before="240" w:after="120"/>
        <w:ind w:left="720"/>
        <w:jc w:val="both"/>
        <w:rPr>
          <w:rFonts w:asciiTheme="minorHAnsi" w:hAnsiTheme="minorHAnsi" w:cstheme="minorHAnsi"/>
          <w:sz w:val="22"/>
        </w:rPr>
      </w:pPr>
      <w:r w:rsidRPr="00DD401F">
        <w:rPr>
          <w:rFonts w:asciiTheme="minorHAnsi" w:hAnsiTheme="minorHAnsi" w:cstheme="minorHAnsi"/>
          <w:sz w:val="22"/>
        </w:rPr>
        <w:t xml:space="preserve">The Minimum Monthly Target Days Cash </w:t>
      </w:r>
      <w:r w:rsidR="00DA1B12" w:rsidRPr="00DD401F">
        <w:rPr>
          <w:rFonts w:asciiTheme="minorHAnsi" w:hAnsiTheme="minorHAnsi" w:cstheme="minorHAnsi"/>
          <w:sz w:val="22"/>
        </w:rPr>
        <w:t>on</w:t>
      </w:r>
      <w:r w:rsidRPr="00DD401F">
        <w:rPr>
          <w:rFonts w:asciiTheme="minorHAnsi" w:hAnsiTheme="minorHAnsi" w:cstheme="minorHAnsi"/>
          <w:sz w:val="22"/>
        </w:rPr>
        <w:t xml:space="preserve"> Hand (DCOH) and Maximum DCOH shall be as defined in </w:t>
      </w:r>
      <w:r w:rsidR="00D51CEC">
        <w:rPr>
          <w:rFonts w:asciiTheme="minorHAnsi" w:hAnsiTheme="minorHAnsi" w:cstheme="minorHAnsi"/>
          <w:sz w:val="22"/>
        </w:rPr>
        <w:t>T</w:t>
      </w:r>
      <w:r w:rsidRPr="00DD401F">
        <w:rPr>
          <w:rFonts w:asciiTheme="minorHAnsi" w:hAnsiTheme="minorHAnsi" w:cstheme="minorHAnsi"/>
          <w:sz w:val="22"/>
        </w:rPr>
        <w:t>able</w:t>
      </w:r>
      <w:r w:rsidR="00D51CEC">
        <w:rPr>
          <w:rFonts w:asciiTheme="minorHAnsi" w:hAnsiTheme="minorHAnsi" w:cstheme="minorHAnsi"/>
          <w:sz w:val="22"/>
        </w:rPr>
        <w:t xml:space="preserve"> 6.1 below</w:t>
      </w:r>
      <w:r w:rsidRPr="00DD401F">
        <w:rPr>
          <w:rFonts w:asciiTheme="minorHAnsi" w:hAnsiTheme="minorHAnsi" w:cstheme="minorHAnsi"/>
          <w:sz w:val="22"/>
        </w:rPr>
        <w:t>.</w:t>
      </w:r>
    </w:p>
    <w:p w14:paraId="59A7A8B5" w14:textId="46B29A24" w:rsidR="00D51CEC" w:rsidRPr="00DD401F" w:rsidRDefault="00D51CEC" w:rsidP="00ED4304">
      <w:pPr>
        <w:pStyle w:val="BodyText"/>
        <w:spacing w:before="240"/>
        <w:ind w:left="720"/>
        <w:jc w:val="both"/>
        <w:rPr>
          <w:rFonts w:asciiTheme="minorHAnsi" w:hAnsiTheme="minorHAnsi" w:cstheme="minorHAnsi"/>
          <w:sz w:val="22"/>
        </w:rPr>
      </w:pPr>
      <w:r>
        <w:rPr>
          <w:rFonts w:asciiTheme="minorHAnsi" w:hAnsiTheme="minorHAnsi" w:cstheme="minorHAnsi"/>
          <w:sz w:val="22"/>
        </w:rPr>
        <w:t xml:space="preserve">Table 6.1 </w:t>
      </w:r>
    </w:p>
    <w:tbl>
      <w:tblPr>
        <w:tblStyle w:val="TableGrid"/>
        <w:tblW w:w="0" w:type="auto"/>
        <w:tblInd w:w="715" w:type="dxa"/>
        <w:tblLook w:val="04A0" w:firstRow="1" w:lastRow="0" w:firstColumn="1" w:lastColumn="0" w:noHBand="0" w:noVBand="1"/>
      </w:tblPr>
      <w:tblGrid>
        <w:gridCol w:w="1440"/>
        <w:gridCol w:w="1980"/>
        <w:gridCol w:w="1890"/>
      </w:tblGrid>
      <w:tr w:rsidR="00D33874" w:rsidRPr="0012723C" w14:paraId="4CCA5DE3" w14:textId="77777777" w:rsidTr="00C867A1">
        <w:tc>
          <w:tcPr>
            <w:tcW w:w="1440" w:type="dxa"/>
            <w:vAlign w:val="center"/>
          </w:tcPr>
          <w:p w14:paraId="26AC5BBE" w14:textId="77777777" w:rsidR="00D33874" w:rsidRPr="0012723C" w:rsidRDefault="00D33874" w:rsidP="00327441">
            <w:pPr>
              <w:autoSpaceDE w:val="0"/>
              <w:autoSpaceDN w:val="0"/>
              <w:adjustRightInd w:val="0"/>
              <w:rPr>
                <w:rFonts w:ascii="Calibri" w:hAnsi="Calibri" w:cs="Calibri"/>
                <w:b/>
                <w:bCs/>
              </w:rPr>
            </w:pPr>
            <w:r w:rsidRPr="0012723C">
              <w:rPr>
                <w:rFonts w:ascii="Calibri" w:hAnsi="Calibri" w:cs="Calibri"/>
                <w:b/>
                <w:bCs/>
              </w:rPr>
              <w:t>Month-Year</w:t>
            </w:r>
          </w:p>
        </w:tc>
        <w:tc>
          <w:tcPr>
            <w:tcW w:w="1980" w:type="dxa"/>
            <w:vAlign w:val="center"/>
          </w:tcPr>
          <w:p w14:paraId="3D4855E0" w14:textId="77777777" w:rsidR="00D33874" w:rsidRPr="0012723C" w:rsidRDefault="00D33874" w:rsidP="00327441">
            <w:pPr>
              <w:autoSpaceDE w:val="0"/>
              <w:autoSpaceDN w:val="0"/>
              <w:adjustRightInd w:val="0"/>
              <w:jc w:val="center"/>
              <w:rPr>
                <w:rFonts w:ascii="Calibri" w:hAnsi="Calibri" w:cs="Calibri"/>
                <w:b/>
                <w:bCs/>
              </w:rPr>
            </w:pPr>
            <w:r w:rsidRPr="0012723C">
              <w:rPr>
                <w:rFonts w:ascii="Calibri" w:hAnsi="Calibri" w:cs="Calibri"/>
                <w:b/>
                <w:bCs/>
              </w:rPr>
              <w:t>Minimum Target DCOH</w:t>
            </w:r>
          </w:p>
        </w:tc>
        <w:tc>
          <w:tcPr>
            <w:tcW w:w="1890" w:type="dxa"/>
            <w:vAlign w:val="center"/>
          </w:tcPr>
          <w:p w14:paraId="1B1341A7" w14:textId="77777777" w:rsidR="00D33874" w:rsidRPr="0012723C" w:rsidRDefault="00D33874" w:rsidP="00327441">
            <w:pPr>
              <w:autoSpaceDE w:val="0"/>
              <w:autoSpaceDN w:val="0"/>
              <w:adjustRightInd w:val="0"/>
              <w:jc w:val="center"/>
              <w:rPr>
                <w:rFonts w:ascii="Calibri" w:hAnsi="Calibri" w:cs="Calibri"/>
                <w:b/>
                <w:bCs/>
              </w:rPr>
            </w:pPr>
            <w:r w:rsidRPr="0012723C">
              <w:rPr>
                <w:rFonts w:ascii="Calibri" w:hAnsi="Calibri" w:cs="Calibri"/>
                <w:b/>
                <w:bCs/>
              </w:rPr>
              <w:t>Maximum DCOH</w:t>
            </w:r>
          </w:p>
        </w:tc>
      </w:tr>
      <w:tr w:rsidR="00D33874" w:rsidRPr="0012723C" w14:paraId="7E410E1C" w14:textId="77777777" w:rsidTr="0039269E">
        <w:tc>
          <w:tcPr>
            <w:tcW w:w="1440" w:type="dxa"/>
          </w:tcPr>
          <w:p w14:paraId="0A80AC7A" w14:textId="3E37B854" w:rsidR="00300A6E" w:rsidRPr="0012723C" w:rsidRDefault="00D33874" w:rsidP="00300A6E">
            <w:pPr>
              <w:tabs>
                <w:tab w:val="left" w:pos="1140"/>
              </w:tabs>
              <w:autoSpaceDE w:val="0"/>
              <w:autoSpaceDN w:val="0"/>
              <w:adjustRightInd w:val="0"/>
              <w:rPr>
                <w:rFonts w:ascii="Calibri" w:hAnsi="Calibri" w:cs="Calibri"/>
              </w:rPr>
            </w:pPr>
            <w:bookmarkStart w:id="0" w:name="_Hlk63690510"/>
            <w:r w:rsidRPr="0012723C">
              <w:rPr>
                <w:rFonts w:ascii="Calibri" w:hAnsi="Calibri" w:cs="Calibri"/>
              </w:rPr>
              <w:t>Jul 202</w:t>
            </w:r>
            <w:r w:rsidR="00300A6E" w:rsidRPr="0012723C">
              <w:rPr>
                <w:rFonts w:ascii="Calibri" w:hAnsi="Calibri" w:cs="Calibri"/>
              </w:rPr>
              <w:t>1</w:t>
            </w:r>
          </w:p>
        </w:tc>
        <w:tc>
          <w:tcPr>
            <w:tcW w:w="1980" w:type="dxa"/>
          </w:tcPr>
          <w:p w14:paraId="05658417" w14:textId="7AB31B0B" w:rsidR="0012723C" w:rsidRPr="0012723C" w:rsidRDefault="0012723C" w:rsidP="0012723C">
            <w:pPr>
              <w:autoSpaceDE w:val="0"/>
              <w:autoSpaceDN w:val="0"/>
              <w:adjustRightInd w:val="0"/>
              <w:jc w:val="center"/>
              <w:rPr>
                <w:rFonts w:ascii="Calibri" w:hAnsi="Calibri" w:cs="Calibri"/>
              </w:rPr>
            </w:pPr>
            <w:r w:rsidRPr="0012723C">
              <w:rPr>
                <w:rFonts w:ascii="Calibri" w:hAnsi="Calibri" w:cs="Calibri"/>
              </w:rPr>
              <w:t>65</w:t>
            </w:r>
          </w:p>
        </w:tc>
        <w:tc>
          <w:tcPr>
            <w:tcW w:w="1890" w:type="dxa"/>
          </w:tcPr>
          <w:p w14:paraId="22890993" w14:textId="38A2EE0E" w:rsidR="00A45BCA" w:rsidRPr="00A45BCA" w:rsidRDefault="00A45BCA" w:rsidP="00A45BCA">
            <w:pPr>
              <w:autoSpaceDE w:val="0"/>
              <w:autoSpaceDN w:val="0"/>
              <w:adjustRightInd w:val="0"/>
              <w:jc w:val="center"/>
            </w:pPr>
            <w:r>
              <w:t>89</w:t>
            </w:r>
          </w:p>
        </w:tc>
      </w:tr>
      <w:tr w:rsidR="00A45BCA" w:rsidRPr="0012723C" w14:paraId="4A589480" w14:textId="77777777" w:rsidTr="0039269E">
        <w:tc>
          <w:tcPr>
            <w:tcW w:w="1440" w:type="dxa"/>
          </w:tcPr>
          <w:p w14:paraId="20C753D7" w14:textId="7F925116" w:rsidR="00A45BCA" w:rsidRPr="0012723C" w:rsidRDefault="00A45BCA" w:rsidP="00A45BCA">
            <w:pPr>
              <w:autoSpaceDE w:val="0"/>
              <w:autoSpaceDN w:val="0"/>
              <w:adjustRightInd w:val="0"/>
              <w:rPr>
                <w:rFonts w:ascii="Calibri" w:hAnsi="Calibri" w:cs="Calibri"/>
              </w:rPr>
            </w:pPr>
            <w:r w:rsidRPr="0012723C">
              <w:rPr>
                <w:rFonts w:ascii="Calibri" w:hAnsi="Calibri" w:cs="Calibri"/>
              </w:rPr>
              <w:t>Aug 2021</w:t>
            </w:r>
          </w:p>
        </w:tc>
        <w:tc>
          <w:tcPr>
            <w:tcW w:w="1980" w:type="dxa"/>
          </w:tcPr>
          <w:p w14:paraId="19E828C3" w14:textId="40BB8F81" w:rsidR="00A45BCA" w:rsidRPr="0012723C" w:rsidRDefault="00A45BCA" w:rsidP="00A45BCA">
            <w:pPr>
              <w:autoSpaceDE w:val="0"/>
              <w:autoSpaceDN w:val="0"/>
              <w:adjustRightInd w:val="0"/>
              <w:jc w:val="center"/>
              <w:rPr>
                <w:rFonts w:ascii="Calibri" w:hAnsi="Calibri" w:cs="Calibri"/>
              </w:rPr>
            </w:pPr>
            <w:r w:rsidRPr="0012723C">
              <w:t>71</w:t>
            </w:r>
          </w:p>
        </w:tc>
        <w:tc>
          <w:tcPr>
            <w:tcW w:w="1890" w:type="dxa"/>
          </w:tcPr>
          <w:p w14:paraId="7A708984" w14:textId="343FA1B0"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794966B7" w14:textId="77777777" w:rsidTr="0039269E">
        <w:tc>
          <w:tcPr>
            <w:tcW w:w="1440" w:type="dxa"/>
          </w:tcPr>
          <w:p w14:paraId="4345BC9B" w14:textId="1F0798F9" w:rsidR="00A45BCA" w:rsidRPr="0012723C" w:rsidRDefault="00A45BCA" w:rsidP="00A45BCA">
            <w:pPr>
              <w:autoSpaceDE w:val="0"/>
              <w:autoSpaceDN w:val="0"/>
              <w:adjustRightInd w:val="0"/>
              <w:rPr>
                <w:rFonts w:ascii="Calibri" w:hAnsi="Calibri" w:cs="Calibri"/>
              </w:rPr>
            </w:pPr>
            <w:r w:rsidRPr="0012723C">
              <w:rPr>
                <w:rFonts w:ascii="Calibri" w:hAnsi="Calibri" w:cs="Calibri"/>
              </w:rPr>
              <w:t>Sep 2021</w:t>
            </w:r>
          </w:p>
        </w:tc>
        <w:tc>
          <w:tcPr>
            <w:tcW w:w="1980" w:type="dxa"/>
          </w:tcPr>
          <w:p w14:paraId="6561526F" w14:textId="6D8C23E8" w:rsidR="00A45BCA" w:rsidRPr="0012723C" w:rsidRDefault="00A45BCA" w:rsidP="00A45BCA">
            <w:pPr>
              <w:autoSpaceDE w:val="0"/>
              <w:autoSpaceDN w:val="0"/>
              <w:adjustRightInd w:val="0"/>
              <w:jc w:val="center"/>
              <w:rPr>
                <w:rFonts w:ascii="Calibri" w:hAnsi="Calibri" w:cs="Calibri"/>
              </w:rPr>
            </w:pPr>
            <w:r w:rsidRPr="0012723C">
              <w:t>76</w:t>
            </w:r>
          </w:p>
        </w:tc>
        <w:tc>
          <w:tcPr>
            <w:tcW w:w="1890" w:type="dxa"/>
          </w:tcPr>
          <w:p w14:paraId="61A45B24" w14:textId="66294AB3"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5EA35994" w14:textId="77777777" w:rsidTr="0039269E">
        <w:tc>
          <w:tcPr>
            <w:tcW w:w="1440" w:type="dxa"/>
          </w:tcPr>
          <w:p w14:paraId="0FF6773D" w14:textId="488BF68A" w:rsidR="00A45BCA" w:rsidRPr="0012723C" w:rsidRDefault="00A45BCA" w:rsidP="00A45BCA">
            <w:pPr>
              <w:autoSpaceDE w:val="0"/>
              <w:autoSpaceDN w:val="0"/>
              <w:adjustRightInd w:val="0"/>
              <w:rPr>
                <w:rFonts w:ascii="Calibri" w:hAnsi="Calibri" w:cs="Calibri"/>
              </w:rPr>
            </w:pPr>
            <w:r w:rsidRPr="0012723C">
              <w:rPr>
                <w:rFonts w:ascii="Calibri" w:hAnsi="Calibri" w:cs="Calibri"/>
              </w:rPr>
              <w:t>Oct 2021</w:t>
            </w:r>
          </w:p>
        </w:tc>
        <w:tc>
          <w:tcPr>
            <w:tcW w:w="1980" w:type="dxa"/>
          </w:tcPr>
          <w:p w14:paraId="7D492344" w14:textId="6BD19661" w:rsidR="00A45BCA" w:rsidRPr="0012723C" w:rsidRDefault="00A45BCA" w:rsidP="00A45BCA">
            <w:pPr>
              <w:autoSpaceDE w:val="0"/>
              <w:autoSpaceDN w:val="0"/>
              <w:adjustRightInd w:val="0"/>
              <w:jc w:val="center"/>
              <w:rPr>
                <w:rFonts w:ascii="Calibri" w:hAnsi="Calibri" w:cs="Calibri"/>
              </w:rPr>
            </w:pPr>
            <w:r w:rsidRPr="0012723C">
              <w:t>80</w:t>
            </w:r>
          </w:p>
        </w:tc>
        <w:tc>
          <w:tcPr>
            <w:tcW w:w="1890" w:type="dxa"/>
          </w:tcPr>
          <w:p w14:paraId="79DAEC2C" w14:textId="48EC959D"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19143CBC" w14:textId="77777777" w:rsidTr="0039269E">
        <w:tc>
          <w:tcPr>
            <w:tcW w:w="1440" w:type="dxa"/>
          </w:tcPr>
          <w:p w14:paraId="3BB07DE0" w14:textId="45F1F2D3" w:rsidR="00A45BCA" w:rsidRPr="0012723C" w:rsidRDefault="00A45BCA" w:rsidP="00A45BCA">
            <w:pPr>
              <w:autoSpaceDE w:val="0"/>
              <w:autoSpaceDN w:val="0"/>
              <w:adjustRightInd w:val="0"/>
              <w:rPr>
                <w:rFonts w:ascii="Calibri" w:hAnsi="Calibri" w:cs="Calibri"/>
              </w:rPr>
            </w:pPr>
            <w:r w:rsidRPr="0012723C">
              <w:rPr>
                <w:rFonts w:ascii="Calibri" w:hAnsi="Calibri" w:cs="Calibri"/>
              </w:rPr>
              <w:t>Nov 2021</w:t>
            </w:r>
          </w:p>
        </w:tc>
        <w:tc>
          <w:tcPr>
            <w:tcW w:w="1980" w:type="dxa"/>
          </w:tcPr>
          <w:p w14:paraId="7CD9BE8E" w14:textId="29F6238E" w:rsidR="00A45BCA" w:rsidRPr="0012723C" w:rsidRDefault="00A45BCA" w:rsidP="00A45BCA">
            <w:pPr>
              <w:autoSpaceDE w:val="0"/>
              <w:autoSpaceDN w:val="0"/>
              <w:adjustRightInd w:val="0"/>
              <w:jc w:val="center"/>
              <w:rPr>
                <w:rFonts w:ascii="Calibri" w:hAnsi="Calibri" w:cs="Calibri"/>
              </w:rPr>
            </w:pPr>
            <w:r w:rsidRPr="0012723C">
              <w:t>77</w:t>
            </w:r>
          </w:p>
        </w:tc>
        <w:tc>
          <w:tcPr>
            <w:tcW w:w="1890" w:type="dxa"/>
          </w:tcPr>
          <w:p w14:paraId="48705907" w14:textId="778EFBB4"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024C5C80" w14:textId="77777777" w:rsidTr="0039269E">
        <w:tc>
          <w:tcPr>
            <w:tcW w:w="1440" w:type="dxa"/>
          </w:tcPr>
          <w:p w14:paraId="386AADF2" w14:textId="2CBE0D30" w:rsidR="00A45BCA" w:rsidRPr="0012723C" w:rsidRDefault="00A45BCA" w:rsidP="00A45BCA">
            <w:pPr>
              <w:autoSpaceDE w:val="0"/>
              <w:autoSpaceDN w:val="0"/>
              <w:adjustRightInd w:val="0"/>
              <w:rPr>
                <w:rFonts w:ascii="Calibri" w:hAnsi="Calibri" w:cs="Calibri"/>
              </w:rPr>
            </w:pPr>
            <w:r w:rsidRPr="0012723C">
              <w:rPr>
                <w:rFonts w:ascii="Calibri" w:hAnsi="Calibri" w:cs="Calibri"/>
              </w:rPr>
              <w:t>Dec 2021</w:t>
            </w:r>
          </w:p>
        </w:tc>
        <w:tc>
          <w:tcPr>
            <w:tcW w:w="1980" w:type="dxa"/>
          </w:tcPr>
          <w:p w14:paraId="6F9FF8D9" w14:textId="6FDEE0E2" w:rsidR="00A45BCA" w:rsidRPr="0012723C" w:rsidRDefault="00A45BCA" w:rsidP="00A45BCA">
            <w:pPr>
              <w:autoSpaceDE w:val="0"/>
              <w:autoSpaceDN w:val="0"/>
              <w:adjustRightInd w:val="0"/>
              <w:jc w:val="center"/>
              <w:rPr>
                <w:rFonts w:ascii="Calibri" w:hAnsi="Calibri" w:cs="Calibri"/>
              </w:rPr>
            </w:pPr>
            <w:r w:rsidRPr="0012723C">
              <w:t>73</w:t>
            </w:r>
          </w:p>
        </w:tc>
        <w:tc>
          <w:tcPr>
            <w:tcW w:w="1890" w:type="dxa"/>
          </w:tcPr>
          <w:p w14:paraId="671A9829" w14:textId="1A0ECE1B"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102D1C75" w14:textId="77777777" w:rsidTr="0039269E">
        <w:tc>
          <w:tcPr>
            <w:tcW w:w="1440" w:type="dxa"/>
          </w:tcPr>
          <w:p w14:paraId="46855ACA" w14:textId="45B53177" w:rsidR="00A45BCA" w:rsidRPr="0012723C" w:rsidRDefault="00A45BCA" w:rsidP="00A45BCA">
            <w:pPr>
              <w:autoSpaceDE w:val="0"/>
              <w:autoSpaceDN w:val="0"/>
              <w:adjustRightInd w:val="0"/>
              <w:rPr>
                <w:rFonts w:ascii="Calibri" w:hAnsi="Calibri" w:cs="Calibri"/>
              </w:rPr>
            </w:pPr>
            <w:r w:rsidRPr="0012723C">
              <w:rPr>
                <w:rFonts w:ascii="Calibri" w:hAnsi="Calibri" w:cs="Calibri"/>
              </w:rPr>
              <w:t>Jan 2022</w:t>
            </w:r>
          </w:p>
        </w:tc>
        <w:tc>
          <w:tcPr>
            <w:tcW w:w="1980" w:type="dxa"/>
          </w:tcPr>
          <w:p w14:paraId="04F8CB62" w14:textId="47C52441" w:rsidR="00A45BCA" w:rsidRPr="0012723C" w:rsidRDefault="00A45BCA" w:rsidP="00A45BCA">
            <w:pPr>
              <w:autoSpaceDE w:val="0"/>
              <w:autoSpaceDN w:val="0"/>
              <w:adjustRightInd w:val="0"/>
              <w:jc w:val="center"/>
              <w:rPr>
                <w:rFonts w:ascii="Calibri" w:hAnsi="Calibri" w:cs="Calibri"/>
              </w:rPr>
            </w:pPr>
            <w:r w:rsidRPr="0012723C">
              <w:t>73</w:t>
            </w:r>
          </w:p>
        </w:tc>
        <w:tc>
          <w:tcPr>
            <w:tcW w:w="1890" w:type="dxa"/>
          </w:tcPr>
          <w:p w14:paraId="579F2A78" w14:textId="0364F5E0"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430A770B" w14:textId="77777777" w:rsidTr="0039269E">
        <w:tc>
          <w:tcPr>
            <w:tcW w:w="1440" w:type="dxa"/>
          </w:tcPr>
          <w:p w14:paraId="2DA96655" w14:textId="143D7D97" w:rsidR="00A45BCA" w:rsidRPr="0012723C" w:rsidRDefault="00A45BCA" w:rsidP="00A45BCA">
            <w:pPr>
              <w:autoSpaceDE w:val="0"/>
              <w:autoSpaceDN w:val="0"/>
              <w:adjustRightInd w:val="0"/>
              <w:rPr>
                <w:rFonts w:ascii="Calibri" w:hAnsi="Calibri" w:cs="Calibri"/>
              </w:rPr>
            </w:pPr>
            <w:r w:rsidRPr="0012723C">
              <w:rPr>
                <w:rFonts w:ascii="Calibri" w:hAnsi="Calibri" w:cs="Calibri"/>
              </w:rPr>
              <w:t>Feb 2022</w:t>
            </w:r>
          </w:p>
        </w:tc>
        <w:tc>
          <w:tcPr>
            <w:tcW w:w="1980" w:type="dxa"/>
          </w:tcPr>
          <w:p w14:paraId="56C79CB3" w14:textId="34FEBC88" w:rsidR="00A45BCA" w:rsidRPr="0012723C" w:rsidRDefault="00A45BCA" w:rsidP="00A45BCA">
            <w:pPr>
              <w:autoSpaceDE w:val="0"/>
              <w:autoSpaceDN w:val="0"/>
              <w:adjustRightInd w:val="0"/>
              <w:jc w:val="center"/>
              <w:rPr>
                <w:rFonts w:ascii="Calibri" w:hAnsi="Calibri" w:cs="Calibri"/>
              </w:rPr>
            </w:pPr>
            <w:r w:rsidRPr="0012723C">
              <w:t>75</w:t>
            </w:r>
          </w:p>
        </w:tc>
        <w:tc>
          <w:tcPr>
            <w:tcW w:w="1890" w:type="dxa"/>
          </w:tcPr>
          <w:p w14:paraId="42D3665B" w14:textId="56C972E9"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1D134DB1" w14:textId="77777777" w:rsidTr="0039269E">
        <w:tc>
          <w:tcPr>
            <w:tcW w:w="1440" w:type="dxa"/>
          </w:tcPr>
          <w:p w14:paraId="0385AD80" w14:textId="44F3D526" w:rsidR="00A45BCA" w:rsidRPr="0012723C" w:rsidRDefault="00A45BCA" w:rsidP="00A45BCA">
            <w:pPr>
              <w:autoSpaceDE w:val="0"/>
              <w:autoSpaceDN w:val="0"/>
              <w:adjustRightInd w:val="0"/>
              <w:rPr>
                <w:rFonts w:ascii="Calibri" w:hAnsi="Calibri" w:cs="Calibri"/>
              </w:rPr>
            </w:pPr>
            <w:r w:rsidRPr="0012723C">
              <w:rPr>
                <w:rFonts w:ascii="Calibri" w:hAnsi="Calibri" w:cs="Calibri"/>
              </w:rPr>
              <w:t>Mar 2022</w:t>
            </w:r>
          </w:p>
        </w:tc>
        <w:tc>
          <w:tcPr>
            <w:tcW w:w="1980" w:type="dxa"/>
          </w:tcPr>
          <w:p w14:paraId="3A5DCC6F" w14:textId="69254623" w:rsidR="00A45BCA" w:rsidRPr="0012723C" w:rsidRDefault="00A45BCA" w:rsidP="00A45BCA">
            <w:pPr>
              <w:autoSpaceDE w:val="0"/>
              <w:autoSpaceDN w:val="0"/>
              <w:adjustRightInd w:val="0"/>
              <w:jc w:val="center"/>
              <w:rPr>
                <w:rFonts w:ascii="Calibri" w:hAnsi="Calibri" w:cs="Calibri"/>
              </w:rPr>
            </w:pPr>
            <w:r w:rsidRPr="0012723C">
              <w:t>76</w:t>
            </w:r>
          </w:p>
        </w:tc>
        <w:tc>
          <w:tcPr>
            <w:tcW w:w="1890" w:type="dxa"/>
          </w:tcPr>
          <w:p w14:paraId="3B789C5C" w14:textId="7EEBB0F2"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68AA4EA5" w14:textId="77777777" w:rsidTr="0039269E">
        <w:tc>
          <w:tcPr>
            <w:tcW w:w="1440" w:type="dxa"/>
          </w:tcPr>
          <w:p w14:paraId="089831BB" w14:textId="4698AC32" w:rsidR="00A45BCA" w:rsidRPr="0012723C" w:rsidRDefault="00A45BCA" w:rsidP="00A45BCA">
            <w:pPr>
              <w:autoSpaceDE w:val="0"/>
              <w:autoSpaceDN w:val="0"/>
              <w:adjustRightInd w:val="0"/>
              <w:rPr>
                <w:rFonts w:ascii="Calibri" w:hAnsi="Calibri" w:cs="Calibri"/>
              </w:rPr>
            </w:pPr>
            <w:r w:rsidRPr="0012723C">
              <w:rPr>
                <w:rFonts w:ascii="Calibri" w:hAnsi="Calibri" w:cs="Calibri"/>
              </w:rPr>
              <w:t>Apr 2022</w:t>
            </w:r>
          </w:p>
        </w:tc>
        <w:tc>
          <w:tcPr>
            <w:tcW w:w="1980" w:type="dxa"/>
          </w:tcPr>
          <w:p w14:paraId="51B88FC6" w14:textId="2E0A0850" w:rsidR="00A45BCA" w:rsidRPr="0012723C" w:rsidRDefault="00A45BCA" w:rsidP="00A45BCA">
            <w:pPr>
              <w:autoSpaceDE w:val="0"/>
              <w:autoSpaceDN w:val="0"/>
              <w:adjustRightInd w:val="0"/>
              <w:jc w:val="center"/>
              <w:rPr>
                <w:rFonts w:ascii="Calibri" w:hAnsi="Calibri" w:cs="Calibri"/>
              </w:rPr>
            </w:pPr>
            <w:r w:rsidRPr="0012723C">
              <w:t>74</w:t>
            </w:r>
          </w:p>
        </w:tc>
        <w:tc>
          <w:tcPr>
            <w:tcW w:w="1890" w:type="dxa"/>
          </w:tcPr>
          <w:p w14:paraId="30708BA7" w14:textId="45458679"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2DBC4BCF" w14:textId="77777777" w:rsidTr="0039269E">
        <w:tc>
          <w:tcPr>
            <w:tcW w:w="1440" w:type="dxa"/>
          </w:tcPr>
          <w:p w14:paraId="68980CFF" w14:textId="70982DCE" w:rsidR="00A45BCA" w:rsidRPr="0012723C" w:rsidRDefault="00A45BCA" w:rsidP="00A45BCA">
            <w:pPr>
              <w:autoSpaceDE w:val="0"/>
              <w:autoSpaceDN w:val="0"/>
              <w:adjustRightInd w:val="0"/>
              <w:rPr>
                <w:rFonts w:ascii="Calibri" w:hAnsi="Calibri" w:cs="Calibri"/>
              </w:rPr>
            </w:pPr>
            <w:r w:rsidRPr="0012723C">
              <w:rPr>
                <w:rFonts w:ascii="Calibri" w:hAnsi="Calibri" w:cs="Calibri"/>
              </w:rPr>
              <w:t>May 2022</w:t>
            </w:r>
          </w:p>
        </w:tc>
        <w:tc>
          <w:tcPr>
            <w:tcW w:w="1980" w:type="dxa"/>
          </w:tcPr>
          <w:p w14:paraId="2C37728C" w14:textId="0754B7C7" w:rsidR="00A45BCA" w:rsidRPr="0012723C" w:rsidRDefault="00A45BCA" w:rsidP="00A45BCA">
            <w:pPr>
              <w:autoSpaceDE w:val="0"/>
              <w:autoSpaceDN w:val="0"/>
              <w:adjustRightInd w:val="0"/>
              <w:jc w:val="center"/>
              <w:rPr>
                <w:rFonts w:ascii="Calibri" w:hAnsi="Calibri" w:cs="Calibri"/>
              </w:rPr>
            </w:pPr>
            <w:r w:rsidRPr="0012723C">
              <w:t>71</w:t>
            </w:r>
          </w:p>
        </w:tc>
        <w:tc>
          <w:tcPr>
            <w:tcW w:w="1890" w:type="dxa"/>
          </w:tcPr>
          <w:p w14:paraId="66322B84" w14:textId="41CDD64A" w:rsidR="00A45BCA" w:rsidRPr="0012723C" w:rsidRDefault="00A45BCA" w:rsidP="00A45BCA">
            <w:pPr>
              <w:autoSpaceDE w:val="0"/>
              <w:autoSpaceDN w:val="0"/>
              <w:adjustRightInd w:val="0"/>
              <w:jc w:val="center"/>
              <w:rPr>
                <w:rFonts w:ascii="Calibri" w:hAnsi="Calibri" w:cs="Calibri"/>
              </w:rPr>
            </w:pPr>
            <w:r>
              <w:t>89</w:t>
            </w:r>
          </w:p>
        </w:tc>
      </w:tr>
      <w:tr w:rsidR="00A45BCA" w:rsidRPr="0012723C" w14:paraId="0A528CAD" w14:textId="77777777" w:rsidTr="0039269E">
        <w:tc>
          <w:tcPr>
            <w:tcW w:w="1440" w:type="dxa"/>
          </w:tcPr>
          <w:p w14:paraId="2BB50A69" w14:textId="51C99E00" w:rsidR="00A45BCA" w:rsidRPr="0012723C" w:rsidRDefault="00A45BCA" w:rsidP="00A45BCA">
            <w:pPr>
              <w:autoSpaceDE w:val="0"/>
              <w:autoSpaceDN w:val="0"/>
              <w:adjustRightInd w:val="0"/>
              <w:rPr>
                <w:rFonts w:ascii="Calibri" w:hAnsi="Calibri" w:cs="Calibri"/>
              </w:rPr>
            </w:pPr>
            <w:r w:rsidRPr="0012723C">
              <w:rPr>
                <w:rFonts w:ascii="Calibri" w:hAnsi="Calibri" w:cs="Calibri"/>
              </w:rPr>
              <w:t>Jun 2022</w:t>
            </w:r>
          </w:p>
        </w:tc>
        <w:tc>
          <w:tcPr>
            <w:tcW w:w="1980" w:type="dxa"/>
          </w:tcPr>
          <w:p w14:paraId="5B5D1930" w14:textId="2780F229" w:rsidR="00A45BCA" w:rsidRPr="0012723C" w:rsidRDefault="00A45BCA" w:rsidP="00A45BCA">
            <w:pPr>
              <w:autoSpaceDE w:val="0"/>
              <w:autoSpaceDN w:val="0"/>
              <w:adjustRightInd w:val="0"/>
              <w:jc w:val="center"/>
              <w:rPr>
                <w:rFonts w:ascii="Calibri" w:hAnsi="Calibri" w:cs="Calibri"/>
              </w:rPr>
            </w:pPr>
            <w:r w:rsidRPr="0012723C">
              <w:t>71</w:t>
            </w:r>
          </w:p>
        </w:tc>
        <w:tc>
          <w:tcPr>
            <w:tcW w:w="1890" w:type="dxa"/>
          </w:tcPr>
          <w:p w14:paraId="1D9C2560" w14:textId="49F0B994" w:rsidR="00A45BCA" w:rsidRPr="0012723C" w:rsidRDefault="00A45BCA" w:rsidP="00A45BCA">
            <w:pPr>
              <w:autoSpaceDE w:val="0"/>
              <w:autoSpaceDN w:val="0"/>
              <w:adjustRightInd w:val="0"/>
              <w:jc w:val="center"/>
              <w:rPr>
                <w:rFonts w:ascii="Calibri" w:hAnsi="Calibri" w:cs="Calibri"/>
              </w:rPr>
            </w:pPr>
            <w:r>
              <w:t>89</w:t>
            </w:r>
          </w:p>
        </w:tc>
      </w:tr>
    </w:tbl>
    <w:bookmarkEnd w:id="0"/>
    <w:p w14:paraId="75185F0D" w14:textId="47A008D6" w:rsidR="00DD401F" w:rsidRPr="00DD27D9" w:rsidRDefault="00DD401F" w:rsidP="00A73B49">
      <w:pPr>
        <w:pStyle w:val="BodyText"/>
        <w:spacing w:before="240" w:after="120"/>
        <w:ind w:left="720"/>
        <w:jc w:val="both"/>
        <w:rPr>
          <w:rFonts w:asciiTheme="minorHAnsi" w:hAnsiTheme="minorHAnsi" w:cstheme="minorHAnsi"/>
          <w:sz w:val="22"/>
        </w:rPr>
      </w:pPr>
      <w:r w:rsidRPr="0012723C">
        <w:rPr>
          <w:rFonts w:asciiTheme="minorHAnsi" w:hAnsiTheme="minorHAnsi" w:cstheme="minorHAnsi"/>
          <w:sz w:val="22"/>
        </w:rPr>
        <w:t xml:space="preserve">The Days Cash </w:t>
      </w:r>
      <w:r w:rsidR="00DA1B12" w:rsidRPr="0012723C">
        <w:rPr>
          <w:rFonts w:asciiTheme="minorHAnsi" w:hAnsiTheme="minorHAnsi" w:cstheme="minorHAnsi"/>
          <w:sz w:val="22"/>
        </w:rPr>
        <w:t>on</w:t>
      </w:r>
      <w:r w:rsidRPr="0012723C">
        <w:rPr>
          <w:rFonts w:asciiTheme="minorHAnsi" w:hAnsiTheme="minorHAnsi" w:cstheme="minorHAnsi"/>
          <w:sz w:val="22"/>
        </w:rPr>
        <w:t xml:space="preserve"> Hand shall be</w:t>
      </w:r>
      <w:r w:rsidRPr="00DD27D9">
        <w:rPr>
          <w:rFonts w:asciiTheme="minorHAnsi" w:hAnsiTheme="minorHAnsi" w:cstheme="minorHAnsi"/>
          <w:sz w:val="22"/>
        </w:rPr>
        <w:t xml:space="preserve"> computed as:</w:t>
      </w:r>
    </w:p>
    <w:p w14:paraId="430361D8" w14:textId="021B1354" w:rsidR="00DD401F" w:rsidRPr="00DD401F" w:rsidRDefault="00DD401F" w:rsidP="00A73B49">
      <w:pPr>
        <w:pStyle w:val="BodyText"/>
        <w:spacing w:before="240" w:after="120"/>
        <w:ind w:left="720"/>
        <w:jc w:val="both"/>
        <w:rPr>
          <w:rFonts w:asciiTheme="minorHAnsi" w:hAnsiTheme="minorHAnsi" w:cstheme="minorHAnsi"/>
          <w:sz w:val="22"/>
        </w:rPr>
      </w:pPr>
      <w:r w:rsidRPr="00DD27D9">
        <w:rPr>
          <w:rFonts w:asciiTheme="minorHAnsi" w:hAnsiTheme="minorHAnsi" w:cstheme="minorHAnsi"/>
          <w:sz w:val="22"/>
        </w:rPr>
        <w:t xml:space="preserve">Days Cash </w:t>
      </w:r>
      <w:r w:rsidR="00DA1B12" w:rsidRPr="00DD27D9">
        <w:rPr>
          <w:rFonts w:asciiTheme="minorHAnsi" w:hAnsiTheme="minorHAnsi" w:cstheme="minorHAnsi"/>
          <w:sz w:val="22"/>
        </w:rPr>
        <w:t>on</w:t>
      </w:r>
      <w:r w:rsidRPr="00DD27D9">
        <w:rPr>
          <w:rFonts w:asciiTheme="minorHAnsi" w:hAnsiTheme="minorHAnsi" w:cstheme="minorHAnsi"/>
          <w:sz w:val="22"/>
        </w:rPr>
        <w:t xml:space="preserve"> Hand = Cash Available / Adjusted Operating Expense per Day</w:t>
      </w:r>
    </w:p>
    <w:p w14:paraId="2CBB2221" w14:textId="77777777" w:rsidR="00DD401F" w:rsidRPr="00DD401F" w:rsidRDefault="00DD401F" w:rsidP="00A73B49">
      <w:pPr>
        <w:pStyle w:val="BodyText"/>
        <w:spacing w:before="240" w:after="120"/>
        <w:ind w:left="720"/>
        <w:jc w:val="both"/>
        <w:rPr>
          <w:rFonts w:asciiTheme="minorHAnsi" w:hAnsiTheme="minorHAnsi" w:cstheme="minorHAnsi"/>
          <w:sz w:val="22"/>
        </w:rPr>
      </w:pPr>
      <w:r w:rsidRPr="00DD401F">
        <w:rPr>
          <w:rFonts w:asciiTheme="minorHAnsi" w:hAnsiTheme="minorHAnsi" w:cstheme="minorHAnsi"/>
          <w:sz w:val="22"/>
        </w:rPr>
        <w:t>Where:</w:t>
      </w:r>
    </w:p>
    <w:p w14:paraId="221924EE" w14:textId="77777777" w:rsidR="00DD401F" w:rsidRPr="00DD401F" w:rsidRDefault="00DD401F" w:rsidP="00842CBF">
      <w:pPr>
        <w:pStyle w:val="BodyText"/>
        <w:spacing w:before="240"/>
        <w:ind w:left="1080"/>
        <w:jc w:val="both"/>
        <w:rPr>
          <w:rFonts w:asciiTheme="minorHAnsi" w:hAnsiTheme="minorHAnsi" w:cstheme="minorHAnsi"/>
          <w:sz w:val="22"/>
        </w:rPr>
      </w:pPr>
      <w:r w:rsidRPr="00DD401F">
        <w:rPr>
          <w:rFonts w:asciiTheme="minorHAnsi" w:hAnsiTheme="minorHAnsi" w:cstheme="minorHAnsi"/>
          <w:sz w:val="22"/>
        </w:rPr>
        <w:t>Cash Available = Cash and Investments</w:t>
      </w:r>
    </w:p>
    <w:p w14:paraId="39AA893D" w14:textId="712E0801" w:rsidR="00DD401F" w:rsidRDefault="00DD401F" w:rsidP="008B7300">
      <w:pPr>
        <w:pStyle w:val="BodyText"/>
        <w:spacing w:before="120" w:after="120"/>
        <w:ind w:left="1440"/>
        <w:jc w:val="both"/>
        <w:rPr>
          <w:rFonts w:asciiTheme="minorHAnsi" w:hAnsiTheme="minorHAnsi" w:cstheme="minorHAnsi"/>
          <w:sz w:val="22"/>
        </w:rPr>
      </w:pPr>
      <w:r w:rsidRPr="00DD401F">
        <w:rPr>
          <w:rFonts w:asciiTheme="minorHAnsi" w:hAnsiTheme="minorHAnsi" w:cstheme="minorHAnsi"/>
          <w:sz w:val="22"/>
        </w:rPr>
        <w:t>Source: KYMEA Statement of Net Position</w:t>
      </w:r>
    </w:p>
    <w:p w14:paraId="5D247801" w14:textId="77777777" w:rsidR="002A7DDE" w:rsidRPr="002A7DDE" w:rsidRDefault="002A7DDE" w:rsidP="002A7DDE">
      <w:pPr>
        <w:pStyle w:val="BodyText"/>
        <w:spacing w:before="240" w:after="120"/>
        <w:ind w:left="720"/>
        <w:jc w:val="both"/>
        <w:rPr>
          <w:rFonts w:asciiTheme="minorHAnsi" w:hAnsiTheme="minorHAnsi" w:cstheme="minorHAnsi"/>
          <w:sz w:val="22"/>
        </w:rPr>
      </w:pPr>
      <w:r w:rsidRPr="002A7DDE">
        <w:rPr>
          <w:rFonts w:asciiTheme="minorHAnsi" w:hAnsiTheme="minorHAnsi" w:cstheme="minorHAnsi"/>
          <w:sz w:val="22"/>
        </w:rPr>
        <w:t>Where:</w:t>
      </w:r>
    </w:p>
    <w:p w14:paraId="5B1CB4F9" w14:textId="0EDEA0CC" w:rsidR="002A7DDE" w:rsidRPr="002A7DDE" w:rsidRDefault="002A7DDE" w:rsidP="00E25032">
      <w:pPr>
        <w:pStyle w:val="BodyText"/>
        <w:spacing w:before="240" w:after="120"/>
        <w:ind w:left="1440"/>
        <w:jc w:val="both"/>
        <w:rPr>
          <w:rFonts w:asciiTheme="minorHAnsi" w:hAnsiTheme="minorHAnsi" w:cstheme="minorHAnsi"/>
          <w:sz w:val="22"/>
        </w:rPr>
      </w:pPr>
      <w:r w:rsidRPr="002A7DDE">
        <w:rPr>
          <w:rFonts w:asciiTheme="minorHAnsi" w:hAnsiTheme="minorHAnsi" w:cstheme="minorHAnsi"/>
          <w:sz w:val="22"/>
        </w:rPr>
        <w:t>Adjusted Operating Expense per Day = Monthly Purchase Power and Operating Expenses, less Monthly Depreciation, plus Previous Months</w:t>
      </w:r>
      <w:r w:rsidR="002C61D3">
        <w:rPr>
          <w:rFonts w:asciiTheme="minorHAnsi" w:hAnsiTheme="minorHAnsi" w:cstheme="minorHAnsi"/>
          <w:sz w:val="22"/>
        </w:rPr>
        <w:t>’</w:t>
      </w:r>
      <w:r w:rsidRPr="002A7DDE">
        <w:rPr>
          <w:rFonts w:asciiTheme="minorHAnsi" w:hAnsiTheme="minorHAnsi" w:cstheme="minorHAnsi"/>
          <w:sz w:val="22"/>
        </w:rPr>
        <w:t xml:space="preserve"> Adjusted Operating Expense Balance, divided by Cumulative Days</w:t>
      </w:r>
      <w:r w:rsidR="002C61D3">
        <w:rPr>
          <w:rFonts w:asciiTheme="minorHAnsi" w:hAnsiTheme="minorHAnsi" w:cstheme="minorHAnsi"/>
          <w:sz w:val="22"/>
        </w:rPr>
        <w:t xml:space="preserve"> of the fiscal year.</w:t>
      </w:r>
    </w:p>
    <w:p w14:paraId="7757A2E6" w14:textId="4D1C5326" w:rsidR="002A7DDE" w:rsidRPr="002A7DDE" w:rsidRDefault="002A7DDE" w:rsidP="00E25032">
      <w:pPr>
        <w:pStyle w:val="BodyText"/>
        <w:spacing w:before="240"/>
        <w:ind w:left="1440"/>
        <w:jc w:val="both"/>
        <w:rPr>
          <w:rFonts w:asciiTheme="minorHAnsi" w:hAnsiTheme="minorHAnsi" w:cstheme="minorHAnsi"/>
          <w:sz w:val="22"/>
        </w:rPr>
      </w:pPr>
      <w:r w:rsidRPr="002A7DDE">
        <w:rPr>
          <w:rFonts w:asciiTheme="minorHAnsi" w:hAnsiTheme="minorHAnsi" w:cstheme="minorHAnsi"/>
          <w:sz w:val="22"/>
        </w:rPr>
        <w:t xml:space="preserve">At the beginning of each fiscal year, the Previous Month’s Adjusted Operating Expense </w:t>
      </w:r>
      <w:r w:rsidRPr="002A7DDE">
        <w:rPr>
          <w:rFonts w:asciiTheme="minorHAnsi" w:hAnsiTheme="minorHAnsi" w:cstheme="minorHAnsi"/>
          <w:sz w:val="22"/>
        </w:rPr>
        <w:lastRenderedPageBreak/>
        <w:t xml:space="preserve">Balance shall be </w:t>
      </w:r>
      <w:r w:rsidR="002C61D3">
        <w:rPr>
          <w:rFonts w:asciiTheme="minorHAnsi" w:hAnsiTheme="minorHAnsi" w:cstheme="minorHAnsi"/>
          <w:sz w:val="22"/>
        </w:rPr>
        <w:t>re</w:t>
      </w:r>
      <w:r w:rsidRPr="002A7DDE">
        <w:rPr>
          <w:rFonts w:asciiTheme="minorHAnsi" w:hAnsiTheme="minorHAnsi" w:cstheme="minorHAnsi"/>
          <w:sz w:val="22"/>
        </w:rPr>
        <w:t>set as zero</w:t>
      </w:r>
      <w:r w:rsidR="002C61D3">
        <w:rPr>
          <w:rFonts w:asciiTheme="minorHAnsi" w:hAnsiTheme="minorHAnsi" w:cstheme="minorHAnsi"/>
          <w:sz w:val="22"/>
        </w:rPr>
        <w:t>.</w:t>
      </w:r>
      <w:r w:rsidRPr="002A7DDE">
        <w:rPr>
          <w:rFonts w:asciiTheme="minorHAnsi" w:hAnsiTheme="minorHAnsi" w:cstheme="minorHAnsi"/>
          <w:sz w:val="22"/>
        </w:rPr>
        <w:t xml:space="preserve"> </w:t>
      </w:r>
    </w:p>
    <w:p w14:paraId="781147B7" w14:textId="49C05F25" w:rsidR="002A7DDE" w:rsidRDefault="002A7DDE" w:rsidP="00F3278D">
      <w:pPr>
        <w:pStyle w:val="BodyText"/>
        <w:spacing w:before="120"/>
        <w:ind w:left="2160"/>
        <w:jc w:val="both"/>
        <w:rPr>
          <w:rFonts w:asciiTheme="minorHAnsi" w:hAnsiTheme="minorHAnsi" w:cstheme="minorHAnsi"/>
          <w:sz w:val="22"/>
        </w:rPr>
      </w:pPr>
      <w:r w:rsidRPr="002A7DDE">
        <w:rPr>
          <w:rFonts w:asciiTheme="minorHAnsi" w:hAnsiTheme="minorHAnsi" w:cstheme="minorHAnsi"/>
          <w:sz w:val="22"/>
        </w:rPr>
        <w:t>Source: KYMEA Consolidated Statements of Revenue, Expenses, and Changes in Net Position</w:t>
      </w:r>
    </w:p>
    <w:p w14:paraId="740EE0EF" w14:textId="77777777" w:rsidR="00F3278D" w:rsidRPr="002A7DDE" w:rsidRDefault="00F3278D" w:rsidP="00F3278D">
      <w:pPr>
        <w:pStyle w:val="BodyText"/>
        <w:spacing w:before="120"/>
        <w:ind w:left="2160"/>
        <w:jc w:val="both"/>
        <w:rPr>
          <w:rFonts w:asciiTheme="minorHAnsi" w:hAnsiTheme="minorHAnsi" w:cstheme="minorHAnsi"/>
          <w:sz w:val="22"/>
        </w:rPr>
      </w:pPr>
    </w:p>
    <w:p w14:paraId="6C6BEC0D" w14:textId="15F46619" w:rsidR="00842CBF" w:rsidRPr="002F4F4A" w:rsidRDefault="00842CBF" w:rsidP="00842CBF">
      <w:pPr>
        <w:pStyle w:val="ListParagraph"/>
        <w:numPr>
          <w:ilvl w:val="0"/>
          <w:numId w:val="1"/>
        </w:numPr>
        <w:spacing w:after="0" w:line="240" w:lineRule="auto"/>
        <w:jc w:val="both"/>
        <w:rPr>
          <w:u w:val="single"/>
        </w:rPr>
      </w:pPr>
      <w:r>
        <w:rPr>
          <w:u w:val="single"/>
        </w:rPr>
        <w:t>COVID-19 Rate Relief Plan</w:t>
      </w:r>
      <w:r w:rsidR="007F28B2">
        <w:rPr>
          <w:u w:val="single"/>
        </w:rPr>
        <w:t xml:space="preserve"> (RRP)</w:t>
      </w:r>
    </w:p>
    <w:p w14:paraId="3D1D5203" w14:textId="33C2F75A" w:rsidR="00F0317A" w:rsidRDefault="000F6685" w:rsidP="00417D93">
      <w:pPr>
        <w:pStyle w:val="BodyText"/>
        <w:spacing w:before="240" w:after="120"/>
        <w:ind w:left="360"/>
        <w:jc w:val="both"/>
        <w:rPr>
          <w:rFonts w:asciiTheme="minorHAnsi" w:hAnsiTheme="minorHAnsi" w:cstheme="minorHAnsi"/>
          <w:sz w:val="22"/>
        </w:rPr>
      </w:pPr>
      <w:r>
        <w:rPr>
          <w:rFonts w:asciiTheme="minorHAnsi" w:hAnsiTheme="minorHAnsi" w:cstheme="minorHAnsi"/>
          <w:sz w:val="22"/>
        </w:rPr>
        <w:t xml:space="preserve">In response to the COVID-19 </w:t>
      </w:r>
      <w:r w:rsidR="00D07171">
        <w:rPr>
          <w:rFonts w:asciiTheme="minorHAnsi" w:hAnsiTheme="minorHAnsi" w:cstheme="minorHAnsi"/>
          <w:sz w:val="22"/>
        </w:rPr>
        <w:t>pandemic, t</w:t>
      </w:r>
      <w:r w:rsidR="00D22356" w:rsidRPr="00F80F02">
        <w:rPr>
          <w:rFonts w:asciiTheme="minorHAnsi" w:hAnsiTheme="minorHAnsi" w:cstheme="minorHAnsi"/>
          <w:sz w:val="22"/>
        </w:rPr>
        <w:t xml:space="preserve">he </w:t>
      </w:r>
      <w:r w:rsidR="00D07171">
        <w:rPr>
          <w:rFonts w:asciiTheme="minorHAnsi" w:hAnsiTheme="minorHAnsi" w:cstheme="minorHAnsi"/>
          <w:sz w:val="22"/>
        </w:rPr>
        <w:t>Agency</w:t>
      </w:r>
      <w:r w:rsidR="00D22356" w:rsidRPr="00F80F02">
        <w:rPr>
          <w:rFonts w:asciiTheme="minorHAnsi" w:hAnsiTheme="minorHAnsi" w:cstheme="minorHAnsi"/>
          <w:sz w:val="22"/>
        </w:rPr>
        <w:t xml:space="preserve"> </w:t>
      </w:r>
      <w:r w:rsidR="00451F1C">
        <w:rPr>
          <w:rFonts w:asciiTheme="minorHAnsi" w:hAnsiTheme="minorHAnsi" w:cstheme="minorHAnsi"/>
          <w:sz w:val="22"/>
        </w:rPr>
        <w:t>extended</w:t>
      </w:r>
      <w:r w:rsidR="00451F1C" w:rsidRPr="00F80F02">
        <w:rPr>
          <w:rFonts w:asciiTheme="minorHAnsi" w:hAnsiTheme="minorHAnsi" w:cstheme="minorHAnsi"/>
          <w:sz w:val="22"/>
        </w:rPr>
        <w:t xml:space="preserve"> </w:t>
      </w:r>
      <w:r w:rsidR="003B76BE">
        <w:rPr>
          <w:rFonts w:asciiTheme="minorHAnsi" w:hAnsiTheme="minorHAnsi" w:cstheme="minorHAnsi"/>
          <w:sz w:val="22"/>
        </w:rPr>
        <w:t xml:space="preserve">the </w:t>
      </w:r>
      <w:r w:rsidR="00CD54FF" w:rsidRPr="00CD54FF">
        <w:rPr>
          <w:rFonts w:asciiTheme="minorHAnsi" w:hAnsiTheme="minorHAnsi" w:cstheme="minorHAnsi"/>
          <w:sz w:val="22"/>
        </w:rPr>
        <w:t>KYMEA COVID-19 Rate Relief Plan (“</w:t>
      </w:r>
      <w:r w:rsidR="00EE08FF">
        <w:rPr>
          <w:rFonts w:asciiTheme="minorHAnsi" w:hAnsiTheme="minorHAnsi" w:cstheme="minorHAnsi"/>
          <w:sz w:val="22"/>
        </w:rPr>
        <w:t>RRP</w:t>
      </w:r>
      <w:r w:rsidR="00CD54FF" w:rsidRPr="00CD54FF">
        <w:rPr>
          <w:rFonts w:asciiTheme="minorHAnsi" w:hAnsiTheme="minorHAnsi" w:cstheme="minorHAnsi"/>
          <w:sz w:val="22"/>
        </w:rPr>
        <w:t>”)</w:t>
      </w:r>
      <w:r w:rsidR="00F56552">
        <w:rPr>
          <w:rFonts w:asciiTheme="minorHAnsi" w:hAnsiTheme="minorHAnsi" w:cstheme="minorHAnsi"/>
          <w:sz w:val="22"/>
        </w:rPr>
        <w:t xml:space="preserve">. The </w:t>
      </w:r>
      <w:r w:rsidR="00C75323">
        <w:rPr>
          <w:rFonts w:asciiTheme="minorHAnsi" w:hAnsiTheme="minorHAnsi" w:cstheme="minorHAnsi"/>
          <w:sz w:val="22"/>
        </w:rPr>
        <w:t>RRP</w:t>
      </w:r>
      <w:r w:rsidR="00CD54FF" w:rsidRPr="00CD54FF">
        <w:rPr>
          <w:rFonts w:asciiTheme="minorHAnsi" w:hAnsiTheme="minorHAnsi" w:cstheme="minorHAnsi"/>
          <w:sz w:val="22"/>
        </w:rPr>
        <w:t xml:space="preserve"> is aimed at alleviating the economic impact </w:t>
      </w:r>
      <w:r w:rsidR="00C242CE">
        <w:rPr>
          <w:rFonts w:asciiTheme="minorHAnsi" w:hAnsiTheme="minorHAnsi" w:cstheme="minorHAnsi"/>
          <w:sz w:val="22"/>
        </w:rPr>
        <w:t>on</w:t>
      </w:r>
      <w:r w:rsidR="00C242CE" w:rsidRPr="00CD54FF">
        <w:rPr>
          <w:rFonts w:asciiTheme="minorHAnsi" w:hAnsiTheme="minorHAnsi" w:cstheme="minorHAnsi"/>
          <w:sz w:val="22"/>
        </w:rPr>
        <w:t xml:space="preserve"> </w:t>
      </w:r>
      <w:r w:rsidR="00CD54FF" w:rsidRPr="00CD54FF">
        <w:rPr>
          <w:rFonts w:asciiTheme="minorHAnsi" w:hAnsiTheme="minorHAnsi" w:cstheme="minorHAnsi"/>
          <w:sz w:val="22"/>
        </w:rPr>
        <w:t>the KYMEA Members.  KYMEA and its membership stand together to provide much</w:t>
      </w:r>
      <w:r w:rsidR="008A396B">
        <w:rPr>
          <w:rFonts w:asciiTheme="minorHAnsi" w:hAnsiTheme="minorHAnsi" w:cstheme="minorHAnsi"/>
          <w:sz w:val="22"/>
        </w:rPr>
        <w:t>-</w:t>
      </w:r>
      <w:r w:rsidR="00CD54FF" w:rsidRPr="00CD54FF">
        <w:rPr>
          <w:rFonts w:asciiTheme="minorHAnsi" w:hAnsiTheme="minorHAnsi" w:cstheme="minorHAnsi"/>
          <w:sz w:val="22"/>
        </w:rPr>
        <w:t>needed relief to our customers.</w:t>
      </w:r>
      <w:r w:rsidR="007D47B0">
        <w:rPr>
          <w:rFonts w:asciiTheme="minorHAnsi" w:hAnsiTheme="minorHAnsi" w:cstheme="minorHAnsi"/>
          <w:sz w:val="22"/>
        </w:rPr>
        <w:t xml:space="preserve"> </w:t>
      </w:r>
      <w:r w:rsidR="002C61D3">
        <w:rPr>
          <w:rFonts w:asciiTheme="minorHAnsi" w:hAnsiTheme="minorHAnsi" w:cstheme="minorHAnsi"/>
          <w:sz w:val="22"/>
        </w:rPr>
        <w:t>F</w:t>
      </w:r>
      <w:r w:rsidR="007D47B0">
        <w:rPr>
          <w:rFonts w:asciiTheme="minorHAnsi" w:hAnsiTheme="minorHAnsi" w:cstheme="minorHAnsi"/>
          <w:sz w:val="22"/>
        </w:rPr>
        <w:t xml:space="preserve">or </w:t>
      </w:r>
      <w:r w:rsidR="004C5A4E">
        <w:rPr>
          <w:rFonts w:asciiTheme="minorHAnsi" w:hAnsiTheme="minorHAnsi" w:cstheme="minorHAnsi"/>
          <w:sz w:val="22"/>
        </w:rPr>
        <w:t xml:space="preserve">the </w:t>
      </w:r>
      <w:r w:rsidR="007D47B0">
        <w:rPr>
          <w:rFonts w:asciiTheme="minorHAnsi" w:hAnsiTheme="minorHAnsi" w:cstheme="minorHAnsi"/>
          <w:sz w:val="22"/>
        </w:rPr>
        <w:t>fiscal year 202</w:t>
      </w:r>
      <w:r w:rsidR="00DD27D9">
        <w:rPr>
          <w:rFonts w:asciiTheme="minorHAnsi" w:hAnsiTheme="minorHAnsi" w:cstheme="minorHAnsi"/>
          <w:sz w:val="22"/>
        </w:rPr>
        <w:t>2</w:t>
      </w:r>
      <w:r w:rsidR="007D47B0">
        <w:rPr>
          <w:rFonts w:asciiTheme="minorHAnsi" w:hAnsiTheme="minorHAnsi" w:cstheme="minorHAnsi"/>
          <w:sz w:val="22"/>
        </w:rPr>
        <w:t xml:space="preserve">, </w:t>
      </w:r>
      <w:r w:rsidR="002E5AAE" w:rsidRPr="002E5AAE">
        <w:rPr>
          <w:rFonts w:asciiTheme="minorHAnsi" w:hAnsiTheme="minorHAnsi" w:cstheme="minorHAnsi"/>
          <w:sz w:val="22"/>
        </w:rPr>
        <w:t xml:space="preserve">the </w:t>
      </w:r>
      <w:r w:rsidR="00C75323">
        <w:rPr>
          <w:rFonts w:asciiTheme="minorHAnsi" w:hAnsiTheme="minorHAnsi" w:cstheme="minorHAnsi"/>
          <w:sz w:val="22"/>
        </w:rPr>
        <w:t>RRP</w:t>
      </w:r>
      <w:r w:rsidR="002E5AAE" w:rsidRPr="002E5AAE">
        <w:rPr>
          <w:rFonts w:asciiTheme="minorHAnsi" w:hAnsiTheme="minorHAnsi" w:cstheme="minorHAnsi"/>
          <w:sz w:val="22"/>
        </w:rPr>
        <w:t xml:space="preserve"> lowers the DCOH minimum target from </w:t>
      </w:r>
      <w:r w:rsidR="00EC7760">
        <w:rPr>
          <w:rFonts w:asciiTheme="minorHAnsi" w:hAnsiTheme="minorHAnsi" w:cstheme="minorHAnsi"/>
          <w:sz w:val="22"/>
        </w:rPr>
        <w:t>71</w:t>
      </w:r>
      <w:r w:rsidR="002E5AAE" w:rsidRPr="002E5AAE">
        <w:rPr>
          <w:rFonts w:asciiTheme="minorHAnsi" w:hAnsiTheme="minorHAnsi" w:cstheme="minorHAnsi"/>
          <w:sz w:val="22"/>
        </w:rPr>
        <w:t xml:space="preserve"> days to </w:t>
      </w:r>
      <w:r w:rsidR="00DD27D9">
        <w:rPr>
          <w:rFonts w:asciiTheme="minorHAnsi" w:hAnsiTheme="minorHAnsi" w:cstheme="minorHAnsi"/>
          <w:sz w:val="22"/>
        </w:rPr>
        <w:t>40</w:t>
      </w:r>
      <w:r w:rsidR="002E5AAE" w:rsidRPr="002E5AAE">
        <w:rPr>
          <w:rFonts w:asciiTheme="minorHAnsi" w:hAnsiTheme="minorHAnsi" w:cstheme="minorHAnsi"/>
          <w:sz w:val="22"/>
        </w:rPr>
        <w:t xml:space="preserve"> days.</w:t>
      </w:r>
    </w:p>
    <w:p w14:paraId="364127A0" w14:textId="59980E03" w:rsidR="00625B65" w:rsidRDefault="00625B65" w:rsidP="00417D93">
      <w:pPr>
        <w:pStyle w:val="BodyText"/>
        <w:spacing w:before="240" w:after="120"/>
        <w:ind w:left="360"/>
        <w:jc w:val="both"/>
        <w:rPr>
          <w:rFonts w:asciiTheme="minorHAnsi" w:hAnsiTheme="minorHAnsi" w:cstheme="minorHAnsi"/>
          <w:sz w:val="22"/>
        </w:rPr>
      </w:pPr>
      <w:r>
        <w:rPr>
          <w:rFonts w:asciiTheme="minorHAnsi" w:hAnsiTheme="minorHAnsi" w:cstheme="minorHAnsi"/>
          <w:sz w:val="22"/>
        </w:rPr>
        <w:t xml:space="preserve">Table </w:t>
      </w:r>
      <w:r w:rsidR="002C61D3">
        <w:rPr>
          <w:rFonts w:asciiTheme="minorHAnsi" w:hAnsiTheme="minorHAnsi" w:cstheme="minorHAnsi"/>
          <w:sz w:val="22"/>
        </w:rPr>
        <w:t xml:space="preserve">7.1 </w:t>
      </w:r>
      <w:r>
        <w:rPr>
          <w:rFonts w:asciiTheme="minorHAnsi" w:hAnsiTheme="minorHAnsi" w:cstheme="minorHAnsi"/>
          <w:sz w:val="22"/>
        </w:rPr>
        <w:t xml:space="preserve">below </w:t>
      </w:r>
      <w:r w:rsidR="002C61D3">
        <w:rPr>
          <w:rFonts w:asciiTheme="minorHAnsi" w:hAnsiTheme="minorHAnsi" w:cstheme="minorHAnsi"/>
          <w:sz w:val="22"/>
        </w:rPr>
        <w:t xml:space="preserve">shall be applicable for the collection of the ECA </w:t>
      </w:r>
      <w:r>
        <w:rPr>
          <w:rFonts w:asciiTheme="minorHAnsi" w:hAnsiTheme="minorHAnsi" w:cstheme="minorHAnsi"/>
          <w:sz w:val="22"/>
        </w:rPr>
        <w:t xml:space="preserve">for </w:t>
      </w:r>
      <w:r w:rsidR="00054BB1">
        <w:rPr>
          <w:rFonts w:asciiTheme="minorHAnsi" w:hAnsiTheme="minorHAnsi" w:cstheme="minorHAnsi"/>
          <w:sz w:val="22"/>
        </w:rPr>
        <w:t xml:space="preserve">the </w:t>
      </w:r>
      <w:r>
        <w:rPr>
          <w:rFonts w:asciiTheme="minorHAnsi" w:hAnsiTheme="minorHAnsi" w:cstheme="minorHAnsi"/>
          <w:sz w:val="22"/>
        </w:rPr>
        <w:t>fiscal year 202</w:t>
      </w:r>
      <w:r w:rsidR="00A45BCA">
        <w:rPr>
          <w:rFonts w:asciiTheme="minorHAnsi" w:hAnsiTheme="minorHAnsi" w:cstheme="minorHAnsi"/>
          <w:sz w:val="22"/>
        </w:rPr>
        <w:t>2</w:t>
      </w:r>
      <w:r>
        <w:rPr>
          <w:rFonts w:asciiTheme="minorHAnsi" w:hAnsiTheme="minorHAnsi" w:cstheme="minorHAnsi"/>
          <w:sz w:val="22"/>
        </w:rPr>
        <w:t xml:space="preserve">, </w:t>
      </w:r>
      <w:r w:rsidR="00E278AC">
        <w:rPr>
          <w:rFonts w:asciiTheme="minorHAnsi" w:hAnsiTheme="minorHAnsi" w:cstheme="minorHAnsi"/>
          <w:sz w:val="22"/>
        </w:rPr>
        <w:t>supersedes</w:t>
      </w:r>
      <w:r w:rsidR="001B1C1B">
        <w:rPr>
          <w:rFonts w:asciiTheme="minorHAnsi" w:hAnsiTheme="minorHAnsi" w:cstheme="minorHAnsi"/>
          <w:sz w:val="22"/>
        </w:rPr>
        <w:t xml:space="preserve"> </w:t>
      </w:r>
      <w:r w:rsidR="002C61D3">
        <w:rPr>
          <w:rFonts w:asciiTheme="minorHAnsi" w:hAnsiTheme="minorHAnsi" w:cstheme="minorHAnsi"/>
          <w:sz w:val="22"/>
        </w:rPr>
        <w:t>Table 6.1</w:t>
      </w:r>
      <w:r w:rsidR="007C5732">
        <w:rPr>
          <w:rFonts w:asciiTheme="minorHAnsi" w:hAnsiTheme="minorHAnsi" w:cstheme="minorHAnsi"/>
          <w:sz w:val="22"/>
        </w:rPr>
        <w:t>,</w:t>
      </w:r>
      <w:r w:rsidR="002C61D3">
        <w:rPr>
          <w:rFonts w:asciiTheme="minorHAnsi" w:hAnsiTheme="minorHAnsi" w:cstheme="minorHAnsi"/>
          <w:sz w:val="22"/>
        </w:rPr>
        <w:t xml:space="preserve"> substituting </w:t>
      </w:r>
      <w:r w:rsidR="001B1C1B">
        <w:rPr>
          <w:rFonts w:asciiTheme="minorHAnsi" w:hAnsiTheme="minorHAnsi" w:cstheme="minorHAnsi"/>
          <w:sz w:val="22"/>
        </w:rPr>
        <w:t>the Minimum Target DCOH with the COVID-19 Rate Relief Plan Minimum Target DCOH.</w:t>
      </w:r>
    </w:p>
    <w:p w14:paraId="195740BD" w14:textId="17A383B5" w:rsidR="002C61D3" w:rsidRDefault="002C61D3" w:rsidP="00ED4304">
      <w:pPr>
        <w:pStyle w:val="BodyText"/>
        <w:spacing w:before="240"/>
        <w:ind w:left="360"/>
        <w:jc w:val="both"/>
        <w:rPr>
          <w:rFonts w:asciiTheme="minorHAnsi" w:hAnsiTheme="minorHAnsi" w:cstheme="minorHAnsi"/>
          <w:sz w:val="22"/>
        </w:rPr>
      </w:pPr>
      <w:r>
        <w:rPr>
          <w:rFonts w:asciiTheme="minorHAnsi" w:hAnsiTheme="minorHAnsi" w:cstheme="minorHAnsi"/>
          <w:sz w:val="22"/>
        </w:rPr>
        <w:tab/>
        <w:t xml:space="preserve">Table 7.1 </w:t>
      </w:r>
    </w:p>
    <w:tbl>
      <w:tblPr>
        <w:tblStyle w:val="TableGrid"/>
        <w:tblW w:w="0" w:type="auto"/>
        <w:tblInd w:w="715" w:type="dxa"/>
        <w:tblLook w:val="04A0" w:firstRow="1" w:lastRow="0" w:firstColumn="1" w:lastColumn="0" w:noHBand="0" w:noVBand="1"/>
      </w:tblPr>
      <w:tblGrid>
        <w:gridCol w:w="1440"/>
        <w:gridCol w:w="1980"/>
        <w:gridCol w:w="1890"/>
        <w:gridCol w:w="1890"/>
      </w:tblGrid>
      <w:tr w:rsidR="00D12167" w14:paraId="36A5E864" w14:textId="77777777" w:rsidTr="00903E93">
        <w:tc>
          <w:tcPr>
            <w:tcW w:w="1440" w:type="dxa"/>
            <w:vAlign w:val="center"/>
          </w:tcPr>
          <w:p w14:paraId="0F77C1E6" w14:textId="77777777" w:rsidR="00D12167" w:rsidRPr="00903E93" w:rsidRDefault="00D12167" w:rsidP="00D12167">
            <w:pPr>
              <w:autoSpaceDE w:val="0"/>
              <w:autoSpaceDN w:val="0"/>
              <w:adjustRightInd w:val="0"/>
              <w:rPr>
                <w:rFonts w:ascii="Calibri" w:hAnsi="Calibri" w:cs="Calibri"/>
                <w:b/>
                <w:bCs/>
              </w:rPr>
            </w:pPr>
            <w:r w:rsidRPr="00903E93">
              <w:rPr>
                <w:rFonts w:ascii="Calibri" w:hAnsi="Calibri" w:cs="Calibri"/>
                <w:b/>
                <w:bCs/>
              </w:rPr>
              <w:t>Month-Year</w:t>
            </w:r>
          </w:p>
        </w:tc>
        <w:tc>
          <w:tcPr>
            <w:tcW w:w="1980" w:type="dxa"/>
            <w:shd w:val="clear" w:color="auto" w:fill="BFBFBF" w:themeFill="background1" w:themeFillShade="BF"/>
            <w:vAlign w:val="center"/>
          </w:tcPr>
          <w:p w14:paraId="0056488F" w14:textId="77777777" w:rsidR="00D12167" w:rsidRPr="00903E93" w:rsidRDefault="00D12167" w:rsidP="00D12167">
            <w:pPr>
              <w:autoSpaceDE w:val="0"/>
              <w:autoSpaceDN w:val="0"/>
              <w:adjustRightInd w:val="0"/>
              <w:jc w:val="center"/>
              <w:rPr>
                <w:rFonts w:ascii="Calibri" w:hAnsi="Calibri" w:cs="Calibri"/>
                <w:b/>
                <w:bCs/>
              </w:rPr>
            </w:pPr>
            <w:r w:rsidRPr="00903E93">
              <w:rPr>
                <w:rFonts w:ascii="Calibri" w:hAnsi="Calibri" w:cs="Calibri"/>
                <w:b/>
                <w:bCs/>
              </w:rPr>
              <w:t>Minimum Target DCOH</w:t>
            </w:r>
          </w:p>
        </w:tc>
        <w:tc>
          <w:tcPr>
            <w:tcW w:w="1890" w:type="dxa"/>
            <w:vAlign w:val="center"/>
          </w:tcPr>
          <w:p w14:paraId="56B80826" w14:textId="456AA3AD" w:rsidR="00D12167" w:rsidRPr="00903E93" w:rsidRDefault="00D12167" w:rsidP="00D12167">
            <w:pPr>
              <w:autoSpaceDE w:val="0"/>
              <w:autoSpaceDN w:val="0"/>
              <w:adjustRightInd w:val="0"/>
              <w:jc w:val="center"/>
              <w:rPr>
                <w:rFonts w:ascii="Calibri" w:hAnsi="Calibri" w:cs="Calibri"/>
                <w:b/>
                <w:bCs/>
              </w:rPr>
            </w:pPr>
            <w:r w:rsidRPr="00903E93">
              <w:rPr>
                <w:rFonts w:ascii="Calibri" w:hAnsi="Calibri" w:cs="Calibri"/>
                <w:b/>
                <w:bCs/>
              </w:rPr>
              <w:t xml:space="preserve">COVID-19 </w:t>
            </w:r>
            <w:r w:rsidR="00C867A1" w:rsidRPr="00903E93">
              <w:rPr>
                <w:rFonts w:ascii="Calibri" w:hAnsi="Calibri" w:cs="Calibri"/>
                <w:b/>
                <w:bCs/>
              </w:rPr>
              <w:t xml:space="preserve">Rate Relief Plan </w:t>
            </w:r>
            <w:r w:rsidRPr="00903E93">
              <w:rPr>
                <w:rFonts w:ascii="Calibri" w:hAnsi="Calibri" w:cs="Calibri"/>
                <w:b/>
                <w:bCs/>
              </w:rPr>
              <w:t>Minimum Target DCOH</w:t>
            </w:r>
          </w:p>
        </w:tc>
        <w:tc>
          <w:tcPr>
            <w:tcW w:w="1890" w:type="dxa"/>
            <w:vAlign w:val="center"/>
          </w:tcPr>
          <w:p w14:paraId="092A4BAD" w14:textId="257D65D3" w:rsidR="00D12167" w:rsidRPr="00903E93" w:rsidRDefault="00D12167" w:rsidP="00D12167">
            <w:pPr>
              <w:autoSpaceDE w:val="0"/>
              <w:autoSpaceDN w:val="0"/>
              <w:adjustRightInd w:val="0"/>
              <w:jc w:val="center"/>
              <w:rPr>
                <w:rFonts w:ascii="Calibri" w:hAnsi="Calibri" w:cs="Calibri"/>
                <w:b/>
                <w:bCs/>
              </w:rPr>
            </w:pPr>
            <w:r w:rsidRPr="00903E93">
              <w:rPr>
                <w:rFonts w:ascii="Calibri" w:hAnsi="Calibri" w:cs="Calibri"/>
                <w:b/>
                <w:bCs/>
              </w:rPr>
              <w:t>Maximum DCOH</w:t>
            </w:r>
          </w:p>
        </w:tc>
      </w:tr>
      <w:tr w:rsidR="00EC7760" w14:paraId="77F8074D" w14:textId="77777777" w:rsidTr="003B2176">
        <w:tc>
          <w:tcPr>
            <w:tcW w:w="1440" w:type="dxa"/>
          </w:tcPr>
          <w:p w14:paraId="15D1238E" w14:textId="4432215A" w:rsidR="00EC7760" w:rsidRPr="00DD27D9" w:rsidRDefault="00EC7760" w:rsidP="00EC7760">
            <w:pPr>
              <w:autoSpaceDE w:val="0"/>
              <w:autoSpaceDN w:val="0"/>
              <w:adjustRightInd w:val="0"/>
              <w:rPr>
                <w:rFonts w:ascii="Calibri" w:hAnsi="Calibri" w:cs="Calibri"/>
              </w:rPr>
            </w:pPr>
            <w:r w:rsidRPr="00DD27D9">
              <w:rPr>
                <w:rFonts w:ascii="Calibri" w:hAnsi="Calibri" w:cs="Calibri"/>
              </w:rPr>
              <w:t>Jul 2021</w:t>
            </w:r>
          </w:p>
        </w:tc>
        <w:tc>
          <w:tcPr>
            <w:tcW w:w="1980" w:type="dxa"/>
            <w:shd w:val="clear" w:color="auto" w:fill="BFBFBF" w:themeFill="background1" w:themeFillShade="BF"/>
          </w:tcPr>
          <w:p w14:paraId="134DC3F9" w14:textId="5A419E3B"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65</w:t>
            </w:r>
          </w:p>
        </w:tc>
        <w:tc>
          <w:tcPr>
            <w:tcW w:w="1890" w:type="dxa"/>
          </w:tcPr>
          <w:p w14:paraId="3E89815D" w14:textId="48E6B3E2" w:rsidR="00EC7760" w:rsidRPr="005F5E03" w:rsidRDefault="00EC7760" w:rsidP="00EC7760">
            <w:pPr>
              <w:autoSpaceDE w:val="0"/>
              <w:autoSpaceDN w:val="0"/>
              <w:adjustRightInd w:val="0"/>
              <w:jc w:val="center"/>
            </w:pPr>
            <w:r>
              <w:t>40</w:t>
            </w:r>
          </w:p>
        </w:tc>
        <w:tc>
          <w:tcPr>
            <w:tcW w:w="1890" w:type="dxa"/>
          </w:tcPr>
          <w:p w14:paraId="2963E294" w14:textId="0A0CC39B" w:rsidR="00EC7760" w:rsidRDefault="00EC7760" w:rsidP="00EC7760">
            <w:pPr>
              <w:autoSpaceDE w:val="0"/>
              <w:autoSpaceDN w:val="0"/>
              <w:adjustRightInd w:val="0"/>
              <w:jc w:val="center"/>
              <w:rPr>
                <w:rFonts w:ascii="Calibri" w:hAnsi="Calibri" w:cs="Calibri"/>
              </w:rPr>
            </w:pPr>
            <w:r>
              <w:t>89</w:t>
            </w:r>
          </w:p>
        </w:tc>
      </w:tr>
      <w:tr w:rsidR="00EC7760" w14:paraId="480C461E" w14:textId="77777777" w:rsidTr="003B2176">
        <w:tc>
          <w:tcPr>
            <w:tcW w:w="1440" w:type="dxa"/>
          </w:tcPr>
          <w:p w14:paraId="013D1661" w14:textId="0677DFBE" w:rsidR="00EC7760" w:rsidRPr="00DD27D9" w:rsidRDefault="00EC7760" w:rsidP="00EC7760">
            <w:pPr>
              <w:autoSpaceDE w:val="0"/>
              <w:autoSpaceDN w:val="0"/>
              <w:adjustRightInd w:val="0"/>
              <w:rPr>
                <w:rFonts w:ascii="Calibri" w:hAnsi="Calibri" w:cs="Calibri"/>
              </w:rPr>
            </w:pPr>
            <w:r w:rsidRPr="00DD27D9">
              <w:rPr>
                <w:rFonts w:ascii="Calibri" w:hAnsi="Calibri" w:cs="Calibri"/>
              </w:rPr>
              <w:t>Aug 2021</w:t>
            </w:r>
          </w:p>
        </w:tc>
        <w:tc>
          <w:tcPr>
            <w:tcW w:w="1980" w:type="dxa"/>
            <w:shd w:val="clear" w:color="auto" w:fill="BFBFBF" w:themeFill="background1" w:themeFillShade="BF"/>
          </w:tcPr>
          <w:p w14:paraId="1F902F07" w14:textId="5EF3215D"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71</w:t>
            </w:r>
          </w:p>
        </w:tc>
        <w:tc>
          <w:tcPr>
            <w:tcW w:w="1890" w:type="dxa"/>
          </w:tcPr>
          <w:p w14:paraId="3031B8A2" w14:textId="6B95D5ED" w:rsidR="00EC7760" w:rsidRPr="005F5E03" w:rsidRDefault="00EC7760" w:rsidP="00EC7760">
            <w:pPr>
              <w:autoSpaceDE w:val="0"/>
              <w:autoSpaceDN w:val="0"/>
              <w:adjustRightInd w:val="0"/>
              <w:jc w:val="center"/>
            </w:pPr>
            <w:r w:rsidRPr="00F42A44">
              <w:t>40</w:t>
            </w:r>
          </w:p>
        </w:tc>
        <w:tc>
          <w:tcPr>
            <w:tcW w:w="1890" w:type="dxa"/>
          </w:tcPr>
          <w:p w14:paraId="7968E453" w14:textId="18E68A41" w:rsidR="00EC7760" w:rsidRDefault="00EC7760" w:rsidP="00EC7760">
            <w:pPr>
              <w:autoSpaceDE w:val="0"/>
              <w:autoSpaceDN w:val="0"/>
              <w:adjustRightInd w:val="0"/>
              <w:jc w:val="center"/>
              <w:rPr>
                <w:rFonts w:ascii="Calibri" w:hAnsi="Calibri" w:cs="Calibri"/>
              </w:rPr>
            </w:pPr>
            <w:r>
              <w:t>89</w:t>
            </w:r>
          </w:p>
        </w:tc>
      </w:tr>
      <w:tr w:rsidR="00EC7760" w14:paraId="036EF778" w14:textId="77777777" w:rsidTr="003B2176">
        <w:tc>
          <w:tcPr>
            <w:tcW w:w="1440" w:type="dxa"/>
          </w:tcPr>
          <w:p w14:paraId="19EAB5CE" w14:textId="0A471436" w:rsidR="00EC7760" w:rsidRPr="00DD27D9" w:rsidRDefault="00EC7760" w:rsidP="00EC7760">
            <w:pPr>
              <w:autoSpaceDE w:val="0"/>
              <w:autoSpaceDN w:val="0"/>
              <w:adjustRightInd w:val="0"/>
              <w:rPr>
                <w:rFonts w:ascii="Calibri" w:hAnsi="Calibri" w:cs="Calibri"/>
              </w:rPr>
            </w:pPr>
            <w:r w:rsidRPr="00DD27D9">
              <w:rPr>
                <w:rFonts w:ascii="Calibri" w:hAnsi="Calibri" w:cs="Calibri"/>
              </w:rPr>
              <w:t>Sep 2021</w:t>
            </w:r>
          </w:p>
        </w:tc>
        <w:tc>
          <w:tcPr>
            <w:tcW w:w="1980" w:type="dxa"/>
            <w:shd w:val="clear" w:color="auto" w:fill="BFBFBF" w:themeFill="background1" w:themeFillShade="BF"/>
          </w:tcPr>
          <w:p w14:paraId="5C4D6F8F" w14:textId="19D50FD7"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76</w:t>
            </w:r>
          </w:p>
        </w:tc>
        <w:tc>
          <w:tcPr>
            <w:tcW w:w="1890" w:type="dxa"/>
          </w:tcPr>
          <w:p w14:paraId="48C6FC38" w14:textId="3063B63D" w:rsidR="00EC7760" w:rsidRPr="005F5E03" w:rsidRDefault="00EC7760" w:rsidP="00EC7760">
            <w:pPr>
              <w:autoSpaceDE w:val="0"/>
              <w:autoSpaceDN w:val="0"/>
              <w:adjustRightInd w:val="0"/>
              <w:jc w:val="center"/>
            </w:pPr>
            <w:r w:rsidRPr="00F42A44">
              <w:t>40</w:t>
            </w:r>
          </w:p>
        </w:tc>
        <w:tc>
          <w:tcPr>
            <w:tcW w:w="1890" w:type="dxa"/>
          </w:tcPr>
          <w:p w14:paraId="21BDA4FB" w14:textId="015FA2D0" w:rsidR="00EC7760" w:rsidRDefault="00EC7760" w:rsidP="00EC7760">
            <w:pPr>
              <w:autoSpaceDE w:val="0"/>
              <w:autoSpaceDN w:val="0"/>
              <w:adjustRightInd w:val="0"/>
              <w:jc w:val="center"/>
              <w:rPr>
                <w:rFonts w:ascii="Calibri" w:hAnsi="Calibri" w:cs="Calibri"/>
              </w:rPr>
            </w:pPr>
            <w:r>
              <w:t>89</w:t>
            </w:r>
          </w:p>
        </w:tc>
      </w:tr>
      <w:tr w:rsidR="00EC7760" w14:paraId="4D30255D" w14:textId="77777777" w:rsidTr="003B2176">
        <w:tc>
          <w:tcPr>
            <w:tcW w:w="1440" w:type="dxa"/>
          </w:tcPr>
          <w:p w14:paraId="5318789B" w14:textId="7E72A779" w:rsidR="00EC7760" w:rsidRPr="00DD27D9" w:rsidRDefault="00EC7760" w:rsidP="00EC7760">
            <w:pPr>
              <w:autoSpaceDE w:val="0"/>
              <w:autoSpaceDN w:val="0"/>
              <w:adjustRightInd w:val="0"/>
              <w:rPr>
                <w:rFonts w:ascii="Calibri" w:hAnsi="Calibri" w:cs="Calibri"/>
              </w:rPr>
            </w:pPr>
            <w:r w:rsidRPr="00DD27D9">
              <w:rPr>
                <w:rFonts w:ascii="Calibri" w:hAnsi="Calibri" w:cs="Calibri"/>
              </w:rPr>
              <w:t>Oct 2021</w:t>
            </w:r>
          </w:p>
        </w:tc>
        <w:tc>
          <w:tcPr>
            <w:tcW w:w="1980" w:type="dxa"/>
            <w:shd w:val="clear" w:color="auto" w:fill="BFBFBF" w:themeFill="background1" w:themeFillShade="BF"/>
          </w:tcPr>
          <w:p w14:paraId="6CD7AD1F" w14:textId="6ED13C56"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80</w:t>
            </w:r>
          </w:p>
        </w:tc>
        <w:tc>
          <w:tcPr>
            <w:tcW w:w="1890" w:type="dxa"/>
          </w:tcPr>
          <w:p w14:paraId="5A3BBE00" w14:textId="16C5B2F5" w:rsidR="00EC7760" w:rsidRPr="005F5E03" w:rsidRDefault="00EC7760" w:rsidP="00EC7760">
            <w:pPr>
              <w:autoSpaceDE w:val="0"/>
              <w:autoSpaceDN w:val="0"/>
              <w:adjustRightInd w:val="0"/>
              <w:jc w:val="center"/>
            </w:pPr>
            <w:r w:rsidRPr="00F42A44">
              <w:t>40</w:t>
            </w:r>
          </w:p>
        </w:tc>
        <w:tc>
          <w:tcPr>
            <w:tcW w:w="1890" w:type="dxa"/>
          </w:tcPr>
          <w:p w14:paraId="29195DCC" w14:textId="075E821D" w:rsidR="00EC7760" w:rsidRDefault="00EC7760" w:rsidP="00EC7760">
            <w:pPr>
              <w:autoSpaceDE w:val="0"/>
              <w:autoSpaceDN w:val="0"/>
              <w:adjustRightInd w:val="0"/>
              <w:jc w:val="center"/>
              <w:rPr>
                <w:rFonts w:ascii="Calibri" w:hAnsi="Calibri" w:cs="Calibri"/>
              </w:rPr>
            </w:pPr>
            <w:r>
              <w:t>89</w:t>
            </w:r>
          </w:p>
        </w:tc>
      </w:tr>
      <w:tr w:rsidR="00EC7760" w14:paraId="072E5156" w14:textId="77777777" w:rsidTr="003B2176">
        <w:tc>
          <w:tcPr>
            <w:tcW w:w="1440" w:type="dxa"/>
          </w:tcPr>
          <w:p w14:paraId="4B163AD9" w14:textId="1CDAD755" w:rsidR="00EC7760" w:rsidRPr="00DD27D9" w:rsidRDefault="00EC7760" w:rsidP="00EC7760">
            <w:pPr>
              <w:autoSpaceDE w:val="0"/>
              <w:autoSpaceDN w:val="0"/>
              <w:adjustRightInd w:val="0"/>
              <w:rPr>
                <w:rFonts w:ascii="Calibri" w:hAnsi="Calibri" w:cs="Calibri"/>
              </w:rPr>
            </w:pPr>
            <w:r w:rsidRPr="00DD27D9">
              <w:rPr>
                <w:rFonts w:ascii="Calibri" w:hAnsi="Calibri" w:cs="Calibri"/>
              </w:rPr>
              <w:t>Nov 2021</w:t>
            </w:r>
          </w:p>
        </w:tc>
        <w:tc>
          <w:tcPr>
            <w:tcW w:w="1980" w:type="dxa"/>
            <w:shd w:val="clear" w:color="auto" w:fill="BFBFBF" w:themeFill="background1" w:themeFillShade="BF"/>
          </w:tcPr>
          <w:p w14:paraId="2EDC7D69" w14:textId="084A76EE"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77</w:t>
            </w:r>
          </w:p>
        </w:tc>
        <w:tc>
          <w:tcPr>
            <w:tcW w:w="1890" w:type="dxa"/>
          </w:tcPr>
          <w:p w14:paraId="3490E57E" w14:textId="76E173CC" w:rsidR="00EC7760" w:rsidRPr="005F5E03" w:rsidRDefault="00EC7760" w:rsidP="00EC7760">
            <w:pPr>
              <w:autoSpaceDE w:val="0"/>
              <w:autoSpaceDN w:val="0"/>
              <w:adjustRightInd w:val="0"/>
              <w:jc w:val="center"/>
            </w:pPr>
            <w:r w:rsidRPr="00F42A44">
              <w:t>40</w:t>
            </w:r>
          </w:p>
        </w:tc>
        <w:tc>
          <w:tcPr>
            <w:tcW w:w="1890" w:type="dxa"/>
          </w:tcPr>
          <w:p w14:paraId="5BC3F22B" w14:textId="0768196B" w:rsidR="00EC7760" w:rsidRDefault="00EC7760" w:rsidP="00EC7760">
            <w:pPr>
              <w:autoSpaceDE w:val="0"/>
              <w:autoSpaceDN w:val="0"/>
              <w:adjustRightInd w:val="0"/>
              <w:jc w:val="center"/>
              <w:rPr>
                <w:rFonts w:ascii="Calibri" w:hAnsi="Calibri" w:cs="Calibri"/>
              </w:rPr>
            </w:pPr>
            <w:r>
              <w:t>89</w:t>
            </w:r>
          </w:p>
        </w:tc>
      </w:tr>
      <w:tr w:rsidR="00EC7760" w14:paraId="3009634D" w14:textId="77777777" w:rsidTr="003B2176">
        <w:tc>
          <w:tcPr>
            <w:tcW w:w="1440" w:type="dxa"/>
          </w:tcPr>
          <w:p w14:paraId="16F3116F" w14:textId="5B609569" w:rsidR="00EC7760" w:rsidRPr="00DD27D9" w:rsidRDefault="00EC7760" w:rsidP="00EC7760">
            <w:pPr>
              <w:autoSpaceDE w:val="0"/>
              <w:autoSpaceDN w:val="0"/>
              <w:adjustRightInd w:val="0"/>
              <w:rPr>
                <w:rFonts w:ascii="Calibri" w:hAnsi="Calibri" w:cs="Calibri"/>
              </w:rPr>
            </w:pPr>
            <w:r w:rsidRPr="00DD27D9">
              <w:rPr>
                <w:rFonts w:ascii="Calibri" w:hAnsi="Calibri" w:cs="Calibri"/>
              </w:rPr>
              <w:t>Dec 2021</w:t>
            </w:r>
          </w:p>
        </w:tc>
        <w:tc>
          <w:tcPr>
            <w:tcW w:w="1980" w:type="dxa"/>
            <w:shd w:val="clear" w:color="auto" w:fill="BFBFBF" w:themeFill="background1" w:themeFillShade="BF"/>
          </w:tcPr>
          <w:p w14:paraId="05F083DA" w14:textId="2ED4BB7B"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73</w:t>
            </w:r>
          </w:p>
        </w:tc>
        <w:tc>
          <w:tcPr>
            <w:tcW w:w="1890" w:type="dxa"/>
          </w:tcPr>
          <w:p w14:paraId="66E8C1D1" w14:textId="08E1D409" w:rsidR="00EC7760" w:rsidRPr="005F5E03" w:rsidRDefault="00EC7760" w:rsidP="00EC7760">
            <w:pPr>
              <w:autoSpaceDE w:val="0"/>
              <w:autoSpaceDN w:val="0"/>
              <w:adjustRightInd w:val="0"/>
              <w:jc w:val="center"/>
            </w:pPr>
            <w:r w:rsidRPr="00F42A44">
              <w:t>40</w:t>
            </w:r>
          </w:p>
        </w:tc>
        <w:tc>
          <w:tcPr>
            <w:tcW w:w="1890" w:type="dxa"/>
          </w:tcPr>
          <w:p w14:paraId="76FF0255" w14:textId="0A415968" w:rsidR="00EC7760" w:rsidRDefault="00EC7760" w:rsidP="00EC7760">
            <w:pPr>
              <w:autoSpaceDE w:val="0"/>
              <w:autoSpaceDN w:val="0"/>
              <w:adjustRightInd w:val="0"/>
              <w:jc w:val="center"/>
              <w:rPr>
                <w:rFonts w:ascii="Calibri" w:hAnsi="Calibri" w:cs="Calibri"/>
              </w:rPr>
            </w:pPr>
            <w:r>
              <w:t>89</w:t>
            </w:r>
          </w:p>
        </w:tc>
      </w:tr>
      <w:tr w:rsidR="00EC7760" w14:paraId="398BF05F" w14:textId="77777777" w:rsidTr="003B2176">
        <w:tc>
          <w:tcPr>
            <w:tcW w:w="1440" w:type="dxa"/>
          </w:tcPr>
          <w:p w14:paraId="73335484" w14:textId="6CBEF9BD" w:rsidR="00EC7760" w:rsidRPr="00DD27D9" w:rsidRDefault="00EC7760" w:rsidP="00EC7760">
            <w:pPr>
              <w:autoSpaceDE w:val="0"/>
              <w:autoSpaceDN w:val="0"/>
              <w:adjustRightInd w:val="0"/>
              <w:rPr>
                <w:rFonts w:ascii="Calibri" w:hAnsi="Calibri" w:cs="Calibri"/>
              </w:rPr>
            </w:pPr>
            <w:r w:rsidRPr="00DD27D9">
              <w:rPr>
                <w:rFonts w:ascii="Calibri" w:hAnsi="Calibri" w:cs="Calibri"/>
              </w:rPr>
              <w:t>Jan 2022</w:t>
            </w:r>
          </w:p>
        </w:tc>
        <w:tc>
          <w:tcPr>
            <w:tcW w:w="1980" w:type="dxa"/>
            <w:shd w:val="clear" w:color="auto" w:fill="BFBFBF" w:themeFill="background1" w:themeFillShade="BF"/>
          </w:tcPr>
          <w:p w14:paraId="133E3A1A" w14:textId="723E219C"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73</w:t>
            </w:r>
          </w:p>
        </w:tc>
        <w:tc>
          <w:tcPr>
            <w:tcW w:w="1890" w:type="dxa"/>
          </w:tcPr>
          <w:p w14:paraId="3F5C9BBE" w14:textId="643E1CCA" w:rsidR="00EC7760" w:rsidRPr="005F5E03" w:rsidRDefault="00EC7760" w:rsidP="00EC7760">
            <w:pPr>
              <w:autoSpaceDE w:val="0"/>
              <w:autoSpaceDN w:val="0"/>
              <w:adjustRightInd w:val="0"/>
              <w:jc w:val="center"/>
            </w:pPr>
            <w:r w:rsidRPr="00F42A44">
              <w:t>40</w:t>
            </w:r>
          </w:p>
        </w:tc>
        <w:tc>
          <w:tcPr>
            <w:tcW w:w="1890" w:type="dxa"/>
          </w:tcPr>
          <w:p w14:paraId="5547AB85" w14:textId="58263371" w:rsidR="00EC7760" w:rsidRDefault="00EC7760" w:rsidP="00EC7760">
            <w:pPr>
              <w:autoSpaceDE w:val="0"/>
              <w:autoSpaceDN w:val="0"/>
              <w:adjustRightInd w:val="0"/>
              <w:jc w:val="center"/>
              <w:rPr>
                <w:rFonts w:ascii="Calibri" w:hAnsi="Calibri" w:cs="Calibri"/>
              </w:rPr>
            </w:pPr>
            <w:r>
              <w:t>89</w:t>
            </w:r>
          </w:p>
        </w:tc>
      </w:tr>
      <w:tr w:rsidR="00EC7760" w14:paraId="4DD498BD" w14:textId="77777777" w:rsidTr="003B2176">
        <w:tc>
          <w:tcPr>
            <w:tcW w:w="1440" w:type="dxa"/>
          </w:tcPr>
          <w:p w14:paraId="48914B4C" w14:textId="4123669E" w:rsidR="00EC7760" w:rsidRPr="00DD27D9" w:rsidRDefault="00EC7760" w:rsidP="00EC7760">
            <w:pPr>
              <w:autoSpaceDE w:val="0"/>
              <w:autoSpaceDN w:val="0"/>
              <w:adjustRightInd w:val="0"/>
              <w:rPr>
                <w:rFonts w:ascii="Calibri" w:hAnsi="Calibri" w:cs="Calibri"/>
              </w:rPr>
            </w:pPr>
            <w:r w:rsidRPr="00DD27D9">
              <w:rPr>
                <w:rFonts w:ascii="Calibri" w:hAnsi="Calibri" w:cs="Calibri"/>
              </w:rPr>
              <w:t>Feb 2022</w:t>
            </w:r>
          </w:p>
        </w:tc>
        <w:tc>
          <w:tcPr>
            <w:tcW w:w="1980" w:type="dxa"/>
            <w:shd w:val="clear" w:color="auto" w:fill="BFBFBF" w:themeFill="background1" w:themeFillShade="BF"/>
          </w:tcPr>
          <w:p w14:paraId="090273D6" w14:textId="093560E4"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75</w:t>
            </w:r>
          </w:p>
        </w:tc>
        <w:tc>
          <w:tcPr>
            <w:tcW w:w="1890" w:type="dxa"/>
          </w:tcPr>
          <w:p w14:paraId="5616E7A5" w14:textId="56561E05" w:rsidR="00EC7760" w:rsidRPr="005F5E03" w:rsidRDefault="00EC7760" w:rsidP="00EC7760">
            <w:pPr>
              <w:autoSpaceDE w:val="0"/>
              <w:autoSpaceDN w:val="0"/>
              <w:adjustRightInd w:val="0"/>
              <w:jc w:val="center"/>
            </w:pPr>
            <w:r w:rsidRPr="00F42A44">
              <w:t>40</w:t>
            </w:r>
          </w:p>
        </w:tc>
        <w:tc>
          <w:tcPr>
            <w:tcW w:w="1890" w:type="dxa"/>
          </w:tcPr>
          <w:p w14:paraId="3E228852" w14:textId="5BAB3D94" w:rsidR="00EC7760" w:rsidRDefault="00EC7760" w:rsidP="00EC7760">
            <w:pPr>
              <w:autoSpaceDE w:val="0"/>
              <w:autoSpaceDN w:val="0"/>
              <w:adjustRightInd w:val="0"/>
              <w:jc w:val="center"/>
              <w:rPr>
                <w:rFonts w:ascii="Calibri" w:hAnsi="Calibri" w:cs="Calibri"/>
              </w:rPr>
            </w:pPr>
            <w:r>
              <w:t>89</w:t>
            </w:r>
          </w:p>
        </w:tc>
      </w:tr>
      <w:tr w:rsidR="00EC7760" w14:paraId="139B4DB7" w14:textId="77777777" w:rsidTr="003B2176">
        <w:tc>
          <w:tcPr>
            <w:tcW w:w="1440" w:type="dxa"/>
          </w:tcPr>
          <w:p w14:paraId="6FF47A87" w14:textId="43FF9C86" w:rsidR="00EC7760" w:rsidRPr="00DD27D9" w:rsidRDefault="00EC7760" w:rsidP="00EC7760">
            <w:pPr>
              <w:autoSpaceDE w:val="0"/>
              <w:autoSpaceDN w:val="0"/>
              <w:adjustRightInd w:val="0"/>
              <w:rPr>
                <w:rFonts w:ascii="Calibri" w:hAnsi="Calibri" w:cs="Calibri"/>
              </w:rPr>
            </w:pPr>
            <w:r w:rsidRPr="00DD27D9">
              <w:rPr>
                <w:rFonts w:ascii="Calibri" w:hAnsi="Calibri" w:cs="Calibri"/>
              </w:rPr>
              <w:t>Mar 2022</w:t>
            </w:r>
          </w:p>
        </w:tc>
        <w:tc>
          <w:tcPr>
            <w:tcW w:w="1980" w:type="dxa"/>
            <w:shd w:val="clear" w:color="auto" w:fill="BFBFBF" w:themeFill="background1" w:themeFillShade="BF"/>
          </w:tcPr>
          <w:p w14:paraId="110D6E27" w14:textId="32D8A823"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76</w:t>
            </w:r>
          </w:p>
        </w:tc>
        <w:tc>
          <w:tcPr>
            <w:tcW w:w="1890" w:type="dxa"/>
          </w:tcPr>
          <w:p w14:paraId="6E6CB7F0" w14:textId="370859BE" w:rsidR="00EC7760" w:rsidRPr="005F5E03" w:rsidRDefault="00EC7760" w:rsidP="00EC7760">
            <w:pPr>
              <w:autoSpaceDE w:val="0"/>
              <w:autoSpaceDN w:val="0"/>
              <w:adjustRightInd w:val="0"/>
              <w:jc w:val="center"/>
            </w:pPr>
            <w:r w:rsidRPr="00F42A44">
              <w:t>40</w:t>
            </w:r>
          </w:p>
        </w:tc>
        <w:tc>
          <w:tcPr>
            <w:tcW w:w="1890" w:type="dxa"/>
          </w:tcPr>
          <w:p w14:paraId="4B47913A" w14:textId="1565D953" w:rsidR="00EC7760" w:rsidRDefault="00EC7760" w:rsidP="00EC7760">
            <w:pPr>
              <w:autoSpaceDE w:val="0"/>
              <w:autoSpaceDN w:val="0"/>
              <w:adjustRightInd w:val="0"/>
              <w:jc w:val="center"/>
              <w:rPr>
                <w:rFonts w:ascii="Calibri" w:hAnsi="Calibri" w:cs="Calibri"/>
              </w:rPr>
            </w:pPr>
            <w:r>
              <w:t>89</w:t>
            </w:r>
          </w:p>
        </w:tc>
      </w:tr>
      <w:tr w:rsidR="00EC7760" w14:paraId="6800835F" w14:textId="77777777" w:rsidTr="003B2176">
        <w:tc>
          <w:tcPr>
            <w:tcW w:w="1440" w:type="dxa"/>
          </w:tcPr>
          <w:p w14:paraId="480131AF" w14:textId="55A504DE" w:rsidR="00EC7760" w:rsidRPr="00DD27D9" w:rsidRDefault="00EC7760" w:rsidP="00EC7760">
            <w:pPr>
              <w:autoSpaceDE w:val="0"/>
              <w:autoSpaceDN w:val="0"/>
              <w:adjustRightInd w:val="0"/>
              <w:rPr>
                <w:rFonts w:ascii="Calibri" w:hAnsi="Calibri" w:cs="Calibri"/>
              </w:rPr>
            </w:pPr>
            <w:r w:rsidRPr="00DD27D9">
              <w:rPr>
                <w:rFonts w:ascii="Calibri" w:hAnsi="Calibri" w:cs="Calibri"/>
              </w:rPr>
              <w:t>Apr 2022</w:t>
            </w:r>
          </w:p>
        </w:tc>
        <w:tc>
          <w:tcPr>
            <w:tcW w:w="1980" w:type="dxa"/>
            <w:shd w:val="clear" w:color="auto" w:fill="BFBFBF" w:themeFill="background1" w:themeFillShade="BF"/>
          </w:tcPr>
          <w:p w14:paraId="70DBD5FF" w14:textId="58F592EB"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74</w:t>
            </w:r>
          </w:p>
        </w:tc>
        <w:tc>
          <w:tcPr>
            <w:tcW w:w="1890" w:type="dxa"/>
          </w:tcPr>
          <w:p w14:paraId="51F1D0C7" w14:textId="6071C889" w:rsidR="00EC7760" w:rsidRPr="005F5E03" w:rsidRDefault="00EC7760" w:rsidP="00EC7760">
            <w:pPr>
              <w:autoSpaceDE w:val="0"/>
              <w:autoSpaceDN w:val="0"/>
              <w:adjustRightInd w:val="0"/>
              <w:jc w:val="center"/>
            </w:pPr>
            <w:r w:rsidRPr="00F42A44">
              <w:t>40</w:t>
            </w:r>
          </w:p>
        </w:tc>
        <w:tc>
          <w:tcPr>
            <w:tcW w:w="1890" w:type="dxa"/>
          </w:tcPr>
          <w:p w14:paraId="3CAD8628" w14:textId="14CA3CF9" w:rsidR="00EC7760" w:rsidRDefault="00EC7760" w:rsidP="00EC7760">
            <w:pPr>
              <w:autoSpaceDE w:val="0"/>
              <w:autoSpaceDN w:val="0"/>
              <w:adjustRightInd w:val="0"/>
              <w:jc w:val="center"/>
              <w:rPr>
                <w:rFonts w:ascii="Calibri" w:hAnsi="Calibri" w:cs="Calibri"/>
              </w:rPr>
            </w:pPr>
            <w:r>
              <w:t>89</w:t>
            </w:r>
          </w:p>
        </w:tc>
      </w:tr>
      <w:tr w:rsidR="00EC7760" w14:paraId="1913745F" w14:textId="77777777" w:rsidTr="003B2176">
        <w:tc>
          <w:tcPr>
            <w:tcW w:w="1440" w:type="dxa"/>
          </w:tcPr>
          <w:p w14:paraId="76BCC15B" w14:textId="65B56A98" w:rsidR="00EC7760" w:rsidRPr="00DD27D9" w:rsidRDefault="00EC7760" w:rsidP="00EC7760">
            <w:pPr>
              <w:autoSpaceDE w:val="0"/>
              <w:autoSpaceDN w:val="0"/>
              <w:adjustRightInd w:val="0"/>
              <w:rPr>
                <w:rFonts w:ascii="Calibri" w:hAnsi="Calibri" w:cs="Calibri"/>
              </w:rPr>
            </w:pPr>
            <w:r w:rsidRPr="00DD27D9">
              <w:rPr>
                <w:rFonts w:ascii="Calibri" w:hAnsi="Calibri" w:cs="Calibri"/>
              </w:rPr>
              <w:t>May 2022</w:t>
            </w:r>
          </w:p>
        </w:tc>
        <w:tc>
          <w:tcPr>
            <w:tcW w:w="1980" w:type="dxa"/>
            <w:shd w:val="clear" w:color="auto" w:fill="BFBFBF" w:themeFill="background1" w:themeFillShade="BF"/>
          </w:tcPr>
          <w:p w14:paraId="4252A4D6" w14:textId="35D5284F"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71</w:t>
            </w:r>
          </w:p>
        </w:tc>
        <w:tc>
          <w:tcPr>
            <w:tcW w:w="1890" w:type="dxa"/>
          </w:tcPr>
          <w:p w14:paraId="4F760E38" w14:textId="5E3245A0" w:rsidR="00EC7760" w:rsidRPr="005F5E03" w:rsidRDefault="00EC7760" w:rsidP="00EC7760">
            <w:pPr>
              <w:autoSpaceDE w:val="0"/>
              <w:autoSpaceDN w:val="0"/>
              <w:adjustRightInd w:val="0"/>
              <w:jc w:val="center"/>
            </w:pPr>
            <w:r w:rsidRPr="00F42A44">
              <w:t>40</w:t>
            </w:r>
          </w:p>
        </w:tc>
        <w:tc>
          <w:tcPr>
            <w:tcW w:w="1890" w:type="dxa"/>
          </w:tcPr>
          <w:p w14:paraId="778A8B6B" w14:textId="4E10D36D" w:rsidR="00EC7760" w:rsidRDefault="00EC7760" w:rsidP="00EC7760">
            <w:pPr>
              <w:autoSpaceDE w:val="0"/>
              <w:autoSpaceDN w:val="0"/>
              <w:adjustRightInd w:val="0"/>
              <w:jc w:val="center"/>
              <w:rPr>
                <w:rFonts w:ascii="Calibri" w:hAnsi="Calibri" w:cs="Calibri"/>
              </w:rPr>
            </w:pPr>
            <w:r>
              <w:t>89</w:t>
            </w:r>
          </w:p>
        </w:tc>
      </w:tr>
      <w:tr w:rsidR="00EC7760" w14:paraId="79A8C929" w14:textId="77777777" w:rsidTr="003B2176">
        <w:tc>
          <w:tcPr>
            <w:tcW w:w="1440" w:type="dxa"/>
          </w:tcPr>
          <w:p w14:paraId="1A641497" w14:textId="21CC85CC" w:rsidR="00EC7760" w:rsidRPr="00DD27D9" w:rsidRDefault="00EC7760" w:rsidP="00EC7760">
            <w:pPr>
              <w:autoSpaceDE w:val="0"/>
              <w:autoSpaceDN w:val="0"/>
              <w:adjustRightInd w:val="0"/>
              <w:rPr>
                <w:rFonts w:ascii="Calibri" w:hAnsi="Calibri" w:cs="Calibri"/>
              </w:rPr>
            </w:pPr>
            <w:r w:rsidRPr="00DD27D9">
              <w:rPr>
                <w:rFonts w:ascii="Calibri" w:hAnsi="Calibri" w:cs="Calibri"/>
              </w:rPr>
              <w:t>Jun 2022</w:t>
            </w:r>
          </w:p>
        </w:tc>
        <w:tc>
          <w:tcPr>
            <w:tcW w:w="1980" w:type="dxa"/>
            <w:shd w:val="clear" w:color="auto" w:fill="BFBFBF" w:themeFill="background1" w:themeFillShade="BF"/>
          </w:tcPr>
          <w:p w14:paraId="0C76A18D" w14:textId="18E42EE2" w:rsidR="00EC7760" w:rsidRPr="00451F1C" w:rsidRDefault="00EC7760" w:rsidP="00EC7760">
            <w:pPr>
              <w:autoSpaceDE w:val="0"/>
              <w:autoSpaceDN w:val="0"/>
              <w:adjustRightInd w:val="0"/>
              <w:jc w:val="center"/>
              <w:rPr>
                <w:rFonts w:ascii="Calibri" w:hAnsi="Calibri" w:cs="Calibri"/>
              </w:rPr>
            </w:pPr>
            <w:r w:rsidRPr="00451F1C">
              <w:rPr>
                <w:rFonts w:ascii="Calibri" w:hAnsi="Calibri" w:cs="Calibri"/>
              </w:rPr>
              <w:t>71</w:t>
            </w:r>
          </w:p>
        </w:tc>
        <w:tc>
          <w:tcPr>
            <w:tcW w:w="1890" w:type="dxa"/>
          </w:tcPr>
          <w:p w14:paraId="4B458489" w14:textId="7DDD376C" w:rsidR="00EC7760" w:rsidRPr="005F5E03" w:rsidRDefault="00EC7760" w:rsidP="00EC7760">
            <w:pPr>
              <w:autoSpaceDE w:val="0"/>
              <w:autoSpaceDN w:val="0"/>
              <w:adjustRightInd w:val="0"/>
              <w:jc w:val="center"/>
            </w:pPr>
            <w:r w:rsidRPr="00F42A44">
              <w:t>40</w:t>
            </w:r>
          </w:p>
        </w:tc>
        <w:tc>
          <w:tcPr>
            <w:tcW w:w="1890" w:type="dxa"/>
          </w:tcPr>
          <w:p w14:paraId="3E2056A5" w14:textId="6F3B0683" w:rsidR="00EC7760" w:rsidRDefault="00EC7760" w:rsidP="00EC7760">
            <w:pPr>
              <w:autoSpaceDE w:val="0"/>
              <w:autoSpaceDN w:val="0"/>
              <w:adjustRightInd w:val="0"/>
              <w:jc w:val="center"/>
              <w:rPr>
                <w:rFonts w:ascii="Calibri" w:hAnsi="Calibri" w:cs="Calibri"/>
              </w:rPr>
            </w:pPr>
            <w:r>
              <w:t>89</w:t>
            </w:r>
          </w:p>
        </w:tc>
      </w:tr>
    </w:tbl>
    <w:p w14:paraId="4A6AA066" w14:textId="77777777" w:rsidR="00417D93" w:rsidRPr="00417D93" w:rsidRDefault="00417D93" w:rsidP="00417D93">
      <w:pPr>
        <w:pStyle w:val="BodyText"/>
        <w:spacing w:before="240" w:after="120"/>
        <w:ind w:left="360"/>
        <w:jc w:val="both"/>
        <w:rPr>
          <w:rFonts w:asciiTheme="minorHAnsi" w:hAnsiTheme="minorHAnsi" w:cstheme="minorHAnsi"/>
          <w:sz w:val="22"/>
        </w:rPr>
      </w:pPr>
    </w:p>
    <w:p w14:paraId="7A054B29" w14:textId="77777777" w:rsidR="007E26B0" w:rsidRDefault="007E26B0">
      <w:pPr>
        <w:rPr>
          <w:u w:val="single"/>
        </w:rPr>
      </w:pPr>
      <w:r>
        <w:rPr>
          <w:u w:val="single"/>
        </w:rPr>
        <w:br w:type="page"/>
      </w:r>
    </w:p>
    <w:p w14:paraId="52534DED" w14:textId="52BC3619" w:rsidR="000E7E18" w:rsidRPr="00B33695" w:rsidRDefault="002C61D3" w:rsidP="00F72709">
      <w:pPr>
        <w:pStyle w:val="ListParagraph"/>
        <w:numPr>
          <w:ilvl w:val="0"/>
          <w:numId w:val="1"/>
        </w:numPr>
        <w:spacing w:after="0" w:line="240" w:lineRule="auto"/>
        <w:jc w:val="both"/>
        <w:rPr>
          <w:u w:val="single"/>
        </w:rPr>
      </w:pPr>
      <w:r>
        <w:rPr>
          <w:u w:val="single"/>
        </w:rPr>
        <w:lastRenderedPageBreak/>
        <w:t>Direct Assigned Facilities Charges</w:t>
      </w:r>
    </w:p>
    <w:p w14:paraId="60E16851" w14:textId="77777777" w:rsidR="000E7E18" w:rsidRDefault="000E7E18" w:rsidP="00F72709">
      <w:pPr>
        <w:spacing w:after="0" w:line="240" w:lineRule="auto"/>
        <w:jc w:val="both"/>
        <w:rPr>
          <w:u w:val="single"/>
        </w:rPr>
      </w:pPr>
    </w:p>
    <w:p w14:paraId="426BE8DB" w14:textId="3347DC50" w:rsidR="000E7E18" w:rsidRDefault="000E7E18" w:rsidP="00F72709">
      <w:pPr>
        <w:spacing w:after="0" w:line="240" w:lineRule="auto"/>
        <w:ind w:left="360"/>
        <w:jc w:val="both"/>
      </w:pPr>
      <w:r w:rsidRPr="00FC20E4">
        <w:t xml:space="preserve">The monthly fixed charges shown in the table below </w:t>
      </w:r>
      <w:r w:rsidR="00FD7F97">
        <w:t>are the current</w:t>
      </w:r>
      <w:r w:rsidR="00FD7F97" w:rsidRPr="00FC20E4">
        <w:t xml:space="preserve"> </w:t>
      </w:r>
      <w:r w:rsidR="008A52C5">
        <w:t xml:space="preserve">LGE/KU </w:t>
      </w:r>
      <w:r w:rsidR="002C61D3">
        <w:t>Direct Assigned Facilities C</w:t>
      </w:r>
      <w:r>
        <w:t xml:space="preserve">harges stated in the </w:t>
      </w:r>
      <w:r w:rsidR="008A52C5">
        <w:t xml:space="preserve">KYMEA-LGE/KU Wholesale Distribution Service Agreement dated </w:t>
      </w:r>
      <w:r w:rsidR="00DF321B">
        <w:t>03/01/2019</w:t>
      </w:r>
      <w:r w:rsidR="00451F1C">
        <w:t xml:space="preserve"> and amended effective 12/15/2020</w:t>
      </w:r>
      <w:r w:rsidR="008A52C5">
        <w:t>.</w:t>
      </w:r>
      <w:r>
        <w:t xml:space="preserve">  These charges are </w:t>
      </w:r>
      <w:r w:rsidRPr="00FC20E4">
        <w:t xml:space="preserve">based on </w:t>
      </w:r>
      <w:r w:rsidR="008A52C5">
        <w:t xml:space="preserve">investment in </w:t>
      </w:r>
      <w:r w:rsidR="007369A6">
        <w:t xml:space="preserve">distribution </w:t>
      </w:r>
      <w:r w:rsidRPr="00FC20E4">
        <w:t xml:space="preserve">facilities </w:t>
      </w:r>
      <w:r w:rsidR="008A52C5">
        <w:t xml:space="preserve">owned and operated </w:t>
      </w:r>
      <w:r>
        <w:t>by LGE/KU an</w:t>
      </w:r>
      <w:r w:rsidR="00B55EB3">
        <w:t xml:space="preserve">d </w:t>
      </w:r>
      <w:r>
        <w:t>include charges for substation</w:t>
      </w:r>
      <w:r w:rsidR="00B55EB3">
        <w:t>s</w:t>
      </w:r>
      <w:r>
        <w:t xml:space="preserve">, switchgear, </w:t>
      </w:r>
      <w:r w:rsidR="008A52C5">
        <w:t xml:space="preserve">and </w:t>
      </w:r>
      <w:r>
        <w:t>tap lines</w:t>
      </w:r>
      <w:r w:rsidR="008A52C5">
        <w:t>.</w:t>
      </w:r>
    </w:p>
    <w:p w14:paraId="75E46E81" w14:textId="57702EBE" w:rsidR="00D7653D" w:rsidRDefault="00D7653D" w:rsidP="00F72709">
      <w:pPr>
        <w:spacing w:after="0" w:line="240" w:lineRule="auto"/>
        <w:ind w:left="360"/>
        <w:jc w:val="both"/>
      </w:pPr>
    </w:p>
    <w:p w14:paraId="05BE0DD0" w14:textId="6372EEC0" w:rsidR="00D7653D" w:rsidRPr="00D7653D" w:rsidRDefault="00D7653D" w:rsidP="007E17C4">
      <w:pPr>
        <w:ind w:left="360"/>
        <w:rPr>
          <w:b/>
        </w:rPr>
      </w:pPr>
      <w:r w:rsidRPr="00D7653D">
        <w:rPr>
          <w:b/>
        </w:rPr>
        <w:t xml:space="preserve">LGE/KU </w:t>
      </w:r>
      <w:r w:rsidR="002C61D3">
        <w:rPr>
          <w:b/>
        </w:rPr>
        <w:t xml:space="preserve">Direct Assigned Facilities </w:t>
      </w:r>
      <w:r w:rsidRPr="00D7653D">
        <w:rPr>
          <w:b/>
        </w:rPr>
        <w:t>Charges</w:t>
      </w:r>
    </w:p>
    <w:p w14:paraId="40D0F5F2" w14:textId="77777777" w:rsidR="000E7E18" w:rsidRPr="00D33E56" w:rsidRDefault="000E7E18" w:rsidP="00F72709">
      <w:pPr>
        <w:keepNext/>
        <w:spacing w:after="0" w:line="240" w:lineRule="auto"/>
        <w:jc w:val="both"/>
      </w:pPr>
    </w:p>
    <w:tbl>
      <w:tblPr>
        <w:tblW w:w="4500" w:type="dxa"/>
        <w:jc w:val="center"/>
        <w:tblLayout w:type="fixed"/>
        <w:tblLook w:val="01E0" w:firstRow="1" w:lastRow="1" w:firstColumn="1" w:lastColumn="1" w:noHBand="0" w:noVBand="0"/>
      </w:tblPr>
      <w:tblGrid>
        <w:gridCol w:w="2175"/>
        <w:gridCol w:w="2325"/>
      </w:tblGrid>
      <w:tr w:rsidR="000E7E18" w:rsidRPr="00FC20E4" w14:paraId="2D9E537D" w14:textId="77777777" w:rsidTr="00ED4304">
        <w:trPr>
          <w:cantSplit/>
          <w:trHeight w:val="554"/>
          <w:jc w:val="center"/>
        </w:trPr>
        <w:tc>
          <w:tcPr>
            <w:tcW w:w="2175" w:type="dxa"/>
            <w:tcBorders>
              <w:bottom w:val="single" w:sz="4" w:space="0" w:color="auto"/>
            </w:tcBorders>
            <w:vAlign w:val="center"/>
          </w:tcPr>
          <w:p w14:paraId="2B781D55" w14:textId="467CD365" w:rsidR="000E7E18" w:rsidRPr="00D33E56" w:rsidRDefault="00E119B9" w:rsidP="00F72709">
            <w:pPr>
              <w:spacing w:after="0" w:line="240" w:lineRule="auto"/>
              <w:jc w:val="both"/>
              <w:rPr>
                <w:b/>
              </w:rPr>
            </w:pPr>
            <w:r>
              <w:rPr>
                <w:b/>
              </w:rPr>
              <w:t xml:space="preserve">AR </w:t>
            </w:r>
            <w:r w:rsidR="000E7E18">
              <w:rPr>
                <w:b/>
              </w:rPr>
              <w:t>Member</w:t>
            </w:r>
          </w:p>
        </w:tc>
        <w:tc>
          <w:tcPr>
            <w:tcW w:w="2325" w:type="dxa"/>
            <w:tcBorders>
              <w:bottom w:val="single" w:sz="4" w:space="0" w:color="auto"/>
            </w:tcBorders>
            <w:vAlign w:val="center"/>
          </w:tcPr>
          <w:p w14:paraId="3A0A063E" w14:textId="2BD9E4F9" w:rsidR="000E7E18" w:rsidRPr="00D33E56" w:rsidRDefault="000E7E18" w:rsidP="00ED4304">
            <w:pPr>
              <w:spacing w:after="0" w:line="240" w:lineRule="auto"/>
              <w:jc w:val="center"/>
              <w:rPr>
                <w:b/>
              </w:rPr>
            </w:pPr>
            <w:r w:rsidRPr="00D33E56">
              <w:rPr>
                <w:b/>
              </w:rPr>
              <w:t>Monthly</w:t>
            </w:r>
            <w:r w:rsidR="002C61D3">
              <w:rPr>
                <w:b/>
              </w:rPr>
              <w:t xml:space="preserve"> </w:t>
            </w:r>
            <w:r w:rsidR="002C61D3" w:rsidRPr="00D33E56">
              <w:rPr>
                <w:b/>
              </w:rPr>
              <w:t>Fixed</w:t>
            </w:r>
            <w:r w:rsidR="002C61D3">
              <w:rPr>
                <w:b/>
              </w:rPr>
              <w:t xml:space="preserve"> </w:t>
            </w:r>
            <w:r w:rsidR="002C61D3" w:rsidRPr="00D33E56">
              <w:rPr>
                <w:b/>
              </w:rPr>
              <w:t>Charge</w:t>
            </w:r>
          </w:p>
        </w:tc>
      </w:tr>
      <w:tr w:rsidR="000E7E18" w:rsidRPr="00FC20E4" w14:paraId="13F3BF5F" w14:textId="77777777" w:rsidTr="00ED4304">
        <w:trPr>
          <w:cantSplit/>
          <w:trHeight w:val="277"/>
          <w:jc w:val="center"/>
        </w:trPr>
        <w:tc>
          <w:tcPr>
            <w:tcW w:w="2175" w:type="dxa"/>
          </w:tcPr>
          <w:p w14:paraId="6CC2C3E1" w14:textId="51315197" w:rsidR="000E7E18" w:rsidRPr="00FC20E4" w:rsidRDefault="000E7E18" w:rsidP="00F72709">
            <w:pPr>
              <w:spacing w:after="0" w:line="240" w:lineRule="auto"/>
              <w:jc w:val="both"/>
            </w:pPr>
            <w:r w:rsidRPr="00FC20E4">
              <w:t xml:space="preserve">Barbourville </w:t>
            </w:r>
          </w:p>
        </w:tc>
        <w:tc>
          <w:tcPr>
            <w:tcW w:w="2325" w:type="dxa"/>
            <w:vAlign w:val="center"/>
          </w:tcPr>
          <w:p w14:paraId="06E17FE2" w14:textId="6131E412" w:rsidR="000E7E18" w:rsidRPr="00FC20E4" w:rsidRDefault="00814200" w:rsidP="00ED4304">
            <w:pPr>
              <w:tabs>
                <w:tab w:val="decimal" w:pos="795"/>
              </w:tabs>
              <w:spacing w:after="0" w:line="240" w:lineRule="auto"/>
              <w:jc w:val="center"/>
            </w:pPr>
            <w:r>
              <w:t>n/a</w:t>
            </w:r>
          </w:p>
        </w:tc>
      </w:tr>
      <w:tr w:rsidR="000E7E18" w:rsidRPr="00FC20E4" w14:paraId="3FEC7FB1" w14:textId="77777777" w:rsidTr="00ED4304">
        <w:trPr>
          <w:cantSplit/>
          <w:trHeight w:val="277"/>
          <w:jc w:val="center"/>
        </w:trPr>
        <w:tc>
          <w:tcPr>
            <w:tcW w:w="2175" w:type="dxa"/>
          </w:tcPr>
          <w:p w14:paraId="090150D1" w14:textId="3ADA0921" w:rsidR="000E7E18" w:rsidRPr="00FC20E4" w:rsidRDefault="000E7E18" w:rsidP="00F72709">
            <w:pPr>
              <w:spacing w:after="0" w:line="240" w:lineRule="auto"/>
              <w:jc w:val="both"/>
            </w:pPr>
            <w:r w:rsidRPr="00FC20E4">
              <w:t xml:space="preserve">Bardwell </w:t>
            </w:r>
          </w:p>
        </w:tc>
        <w:tc>
          <w:tcPr>
            <w:tcW w:w="2325" w:type="dxa"/>
            <w:vAlign w:val="center"/>
          </w:tcPr>
          <w:p w14:paraId="12862956" w14:textId="3D4EAC93" w:rsidR="000E7E18" w:rsidRPr="00FC20E4" w:rsidRDefault="000E7E18" w:rsidP="00ED4304">
            <w:pPr>
              <w:tabs>
                <w:tab w:val="decimal" w:pos="795"/>
              </w:tabs>
              <w:spacing w:after="0" w:line="240" w:lineRule="auto"/>
              <w:jc w:val="center"/>
            </w:pPr>
            <w:r w:rsidRPr="00FC20E4">
              <w:t>$3</w:t>
            </w:r>
            <w:r w:rsidR="00B55EB3">
              <w:t>78.25</w:t>
            </w:r>
          </w:p>
        </w:tc>
      </w:tr>
      <w:tr w:rsidR="000E7E18" w:rsidRPr="00FC20E4" w14:paraId="76ED05CE" w14:textId="77777777" w:rsidTr="00ED4304">
        <w:trPr>
          <w:cantSplit/>
          <w:trHeight w:val="270"/>
          <w:jc w:val="center"/>
        </w:trPr>
        <w:tc>
          <w:tcPr>
            <w:tcW w:w="2175" w:type="dxa"/>
          </w:tcPr>
          <w:p w14:paraId="687EAE36" w14:textId="77777777" w:rsidR="000E7E18" w:rsidRPr="00FC20E4" w:rsidRDefault="000E7E18" w:rsidP="00F72709">
            <w:pPr>
              <w:spacing w:after="0" w:line="240" w:lineRule="auto"/>
              <w:jc w:val="both"/>
            </w:pPr>
            <w:r w:rsidRPr="00FC20E4">
              <w:t>Corbin</w:t>
            </w:r>
          </w:p>
        </w:tc>
        <w:tc>
          <w:tcPr>
            <w:tcW w:w="2325" w:type="dxa"/>
            <w:vAlign w:val="center"/>
          </w:tcPr>
          <w:p w14:paraId="5EEE4C2B" w14:textId="0B24C591" w:rsidR="000E7E18" w:rsidRPr="00FC20E4" w:rsidRDefault="00143C73" w:rsidP="00ED4304">
            <w:pPr>
              <w:tabs>
                <w:tab w:val="decimal" w:pos="795"/>
              </w:tabs>
              <w:spacing w:after="0" w:line="240" w:lineRule="auto"/>
              <w:jc w:val="center"/>
            </w:pPr>
            <w:r>
              <w:t>n/a</w:t>
            </w:r>
          </w:p>
        </w:tc>
      </w:tr>
      <w:tr w:rsidR="000E7E18" w:rsidRPr="00FC20E4" w14:paraId="43A1B2F9" w14:textId="77777777" w:rsidTr="00ED4304">
        <w:trPr>
          <w:cantSplit/>
          <w:trHeight w:val="277"/>
          <w:jc w:val="center"/>
        </w:trPr>
        <w:tc>
          <w:tcPr>
            <w:tcW w:w="2175" w:type="dxa"/>
          </w:tcPr>
          <w:p w14:paraId="7E049729" w14:textId="65387A0D" w:rsidR="000E7E18" w:rsidRPr="00FC20E4" w:rsidRDefault="000E7E18" w:rsidP="00F72709">
            <w:pPr>
              <w:spacing w:after="0" w:line="240" w:lineRule="auto"/>
              <w:jc w:val="both"/>
            </w:pPr>
            <w:r w:rsidRPr="00FC20E4">
              <w:t xml:space="preserve">Falmouth </w:t>
            </w:r>
          </w:p>
        </w:tc>
        <w:tc>
          <w:tcPr>
            <w:tcW w:w="2325" w:type="dxa"/>
            <w:vAlign w:val="center"/>
          </w:tcPr>
          <w:p w14:paraId="1127EC52" w14:textId="73BB2CB4" w:rsidR="000E7E18" w:rsidRPr="00FC20E4" w:rsidRDefault="00005080" w:rsidP="00ED4304">
            <w:pPr>
              <w:tabs>
                <w:tab w:val="decimal" w:pos="795"/>
              </w:tabs>
              <w:spacing w:after="0" w:line="240" w:lineRule="auto"/>
              <w:jc w:val="center"/>
            </w:pPr>
            <w:r>
              <w:t>$</w:t>
            </w:r>
            <w:r w:rsidR="006F21C8">
              <w:t>7</w:t>
            </w:r>
            <w:r w:rsidR="00AE7C6D">
              <w:t>,</w:t>
            </w:r>
            <w:r w:rsidR="006F21C8">
              <w:t>189.75</w:t>
            </w:r>
          </w:p>
        </w:tc>
      </w:tr>
      <w:tr w:rsidR="000E7E18" w:rsidRPr="00FC20E4" w14:paraId="4F14A8E5" w14:textId="77777777" w:rsidTr="00ED4304">
        <w:trPr>
          <w:cantSplit/>
          <w:trHeight w:val="277"/>
          <w:jc w:val="center"/>
        </w:trPr>
        <w:tc>
          <w:tcPr>
            <w:tcW w:w="2175" w:type="dxa"/>
          </w:tcPr>
          <w:p w14:paraId="2D5BC23D" w14:textId="77777777" w:rsidR="000E7E18" w:rsidRPr="00FC20E4" w:rsidRDefault="000E7E18" w:rsidP="00F72709">
            <w:pPr>
              <w:spacing w:after="0" w:line="240" w:lineRule="auto"/>
              <w:jc w:val="both"/>
            </w:pPr>
            <w:r w:rsidRPr="00FC20E4">
              <w:t>Frankfort</w:t>
            </w:r>
          </w:p>
        </w:tc>
        <w:tc>
          <w:tcPr>
            <w:tcW w:w="2325" w:type="dxa"/>
            <w:vAlign w:val="center"/>
          </w:tcPr>
          <w:p w14:paraId="34377873" w14:textId="2F2B879C" w:rsidR="000E7E18" w:rsidRPr="00FC20E4" w:rsidRDefault="00143C73" w:rsidP="00ED4304">
            <w:pPr>
              <w:tabs>
                <w:tab w:val="decimal" w:pos="795"/>
              </w:tabs>
              <w:spacing w:after="0" w:line="240" w:lineRule="auto"/>
              <w:jc w:val="center"/>
            </w:pPr>
            <w:r>
              <w:t>n/a</w:t>
            </w:r>
          </w:p>
        </w:tc>
      </w:tr>
      <w:tr w:rsidR="005264B5" w:rsidRPr="00FC20E4" w14:paraId="3AAA52EA" w14:textId="77777777" w:rsidTr="00ED4304">
        <w:trPr>
          <w:cantSplit/>
          <w:trHeight w:val="277"/>
          <w:jc w:val="center"/>
        </w:trPr>
        <w:tc>
          <w:tcPr>
            <w:tcW w:w="2175" w:type="dxa"/>
          </w:tcPr>
          <w:p w14:paraId="66A04037" w14:textId="77777777" w:rsidR="005264B5" w:rsidRPr="00FC20E4" w:rsidRDefault="005264B5" w:rsidP="005264B5">
            <w:pPr>
              <w:spacing w:after="0" w:line="240" w:lineRule="auto"/>
              <w:jc w:val="both"/>
            </w:pPr>
            <w:r w:rsidRPr="00FC20E4">
              <w:t>Madisonville</w:t>
            </w:r>
          </w:p>
        </w:tc>
        <w:tc>
          <w:tcPr>
            <w:tcW w:w="2325" w:type="dxa"/>
            <w:vAlign w:val="center"/>
          </w:tcPr>
          <w:p w14:paraId="2CCC74D1" w14:textId="69C364FE" w:rsidR="005264B5" w:rsidRPr="00FC20E4" w:rsidRDefault="005264B5" w:rsidP="005264B5">
            <w:pPr>
              <w:tabs>
                <w:tab w:val="decimal" w:pos="795"/>
              </w:tabs>
              <w:spacing w:after="0" w:line="240" w:lineRule="auto"/>
              <w:jc w:val="center"/>
            </w:pPr>
            <w:r>
              <w:t>n/a</w:t>
            </w:r>
          </w:p>
        </w:tc>
      </w:tr>
      <w:tr w:rsidR="00B55EB3" w:rsidRPr="00FC20E4" w14:paraId="571FDCA5" w14:textId="77777777" w:rsidTr="00ED4304">
        <w:trPr>
          <w:cantSplit/>
          <w:trHeight w:val="277"/>
          <w:jc w:val="center"/>
        </w:trPr>
        <w:tc>
          <w:tcPr>
            <w:tcW w:w="2175" w:type="dxa"/>
          </w:tcPr>
          <w:p w14:paraId="60B21877" w14:textId="5B669F6F" w:rsidR="00B55EB3" w:rsidRPr="00FC20E4" w:rsidRDefault="00B55EB3" w:rsidP="00F72709">
            <w:pPr>
              <w:spacing w:after="0" w:line="240" w:lineRule="auto"/>
              <w:jc w:val="both"/>
            </w:pPr>
            <w:r>
              <w:t>Paris</w:t>
            </w:r>
          </w:p>
        </w:tc>
        <w:tc>
          <w:tcPr>
            <w:tcW w:w="2325" w:type="dxa"/>
            <w:vAlign w:val="center"/>
          </w:tcPr>
          <w:p w14:paraId="2B61845E" w14:textId="27E8F13B" w:rsidR="00B55EB3" w:rsidRPr="00FC20E4" w:rsidRDefault="00143C73" w:rsidP="00ED4304">
            <w:pPr>
              <w:tabs>
                <w:tab w:val="decimal" w:pos="795"/>
              </w:tabs>
              <w:spacing w:after="0" w:line="240" w:lineRule="auto"/>
              <w:jc w:val="center"/>
            </w:pPr>
            <w:r>
              <w:t>n/a</w:t>
            </w:r>
          </w:p>
        </w:tc>
      </w:tr>
      <w:tr w:rsidR="000E7E18" w:rsidRPr="00FC20E4" w14:paraId="5C5A9F36" w14:textId="77777777" w:rsidTr="00ED4304">
        <w:trPr>
          <w:cantSplit/>
          <w:trHeight w:val="277"/>
          <w:jc w:val="center"/>
        </w:trPr>
        <w:tc>
          <w:tcPr>
            <w:tcW w:w="2175" w:type="dxa"/>
            <w:tcBorders>
              <w:bottom w:val="single" w:sz="4" w:space="0" w:color="auto"/>
            </w:tcBorders>
          </w:tcPr>
          <w:p w14:paraId="333B9E72" w14:textId="053A4E74" w:rsidR="000E7E18" w:rsidRPr="00FC20E4" w:rsidRDefault="000E7E18" w:rsidP="00F72709">
            <w:pPr>
              <w:spacing w:after="0" w:line="240" w:lineRule="auto"/>
              <w:jc w:val="both"/>
            </w:pPr>
            <w:r w:rsidRPr="00FC20E4">
              <w:t xml:space="preserve">Providence </w:t>
            </w:r>
          </w:p>
        </w:tc>
        <w:tc>
          <w:tcPr>
            <w:tcW w:w="2325" w:type="dxa"/>
            <w:tcBorders>
              <w:bottom w:val="single" w:sz="4" w:space="0" w:color="auto"/>
            </w:tcBorders>
            <w:vAlign w:val="center"/>
          </w:tcPr>
          <w:p w14:paraId="02E312F3" w14:textId="1CEFE042" w:rsidR="000E7E18" w:rsidRPr="00FC20E4" w:rsidRDefault="000E7E18" w:rsidP="00ED4304">
            <w:pPr>
              <w:tabs>
                <w:tab w:val="decimal" w:pos="795"/>
              </w:tabs>
              <w:spacing w:after="0" w:line="240" w:lineRule="auto"/>
              <w:jc w:val="center"/>
            </w:pPr>
            <w:r w:rsidRPr="00FC20E4">
              <w:t>$</w:t>
            </w:r>
            <w:r w:rsidR="00B55EB3">
              <w:t>1,290.64</w:t>
            </w:r>
          </w:p>
        </w:tc>
      </w:tr>
    </w:tbl>
    <w:p w14:paraId="10E22B1B" w14:textId="77777777" w:rsidR="003B5DF5" w:rsidRDefault="003B5DF5" w:rsidP="00F72709">
      <w:pPr>
        <w:spacing w:after="0" w:line="240" w:lineRule="auto"/>
        <w:jc w:val="both"/>
      </w:pPr>
    </w:p>
    <w:p w14:paraId="244301DD" w14:textId="77777777" w:rsidR="00D7653D" w:rsidRDefault="00D7653D" w:rsidP="00F72709">
      <w:pPr>
        <w:spacing w:after="0" w:line="240" w:lineRule="auto"/>
        <w:ind w:left="360"/>
        <w:jc w:val="both"/>
      </w:pPr>
    </w:p>
    <w:p w14:paraId="1B9AB788" w14:textId="5207688B" w:rsidR="00963E5A" w:rsidRDefault="000E7E18" w:rsidP="00F72709">
      <w:pPr>
        <w:spacing w:after="0" w:line="240" w:lineRule="auto"/>
        <w:ind w:left="360"/>
        <w:jc w:val="both"/>
      </w:pPr>
      <w:r w:rsidRPr="00B33695">
        <w:t xml:space="preserve">The </w:t>
      </w:r>
      <w:r w:rsidR="00B67F87">
        <w:t xml:space="preserve">LGE/KU </w:t>
      </w:r>
      <w:r w:rsidR="002C61D3">
        <w:t xml:space="preserve">Direct Assigned Facilities </w:t>
      </w:r>
      <w:r w:rsidR="00EA3F73">
        <w:t>Charges</w:t>
      </w:r>
      <w:r w:rsidRPr="00B33695">
        <w:t xml:space="preserve"> will be updated </w:t>
      </w:r>
      <w:r w:rsidR="00FD7F97">
        <w:t xml:space="preserve">from time to time </w:t>
      </w:r>
      <w:r w:rsidRPr="00B33695">
        <w:t xml:space="preserve">as needed to reflect </w:t>
      </w:r>
      <w:r>
        <w:t xml:space="preserve">changes in </w:t>
      </w:r>
      <w:r w:rsidR="00EA3F73">
        <w:t xml:space="preserve">LKE/KU’s charges under the </w:t>
      </w:r>
      <w:r w:rsidR="00D7653D">
        <w:t>Wholesale Distribution Service</w:t>
      </w:r>
      <w:r w:rsidR="00EA3F73">
        <w:t xml:space="preserve"> Agreement</w:t>
      </w:r>
      <w:r w:rsidR="00D7653D">
        <w:t>.</w:t>
      </w:r>
    </w:p>
    <w:p w14:paraId="3113E681" w14:textId="12F2FC82" w:rsidR="00910906" w:rsidRDefault="00910906" w:rsidP="00F72709">
      <w:pPr>
        <w:spacing w:after="0" w:line="240" w:lineRule="auto"/>
        <w:jc w:val="both"/>
      </w:pPr>
    </w:p>
    <w:p w14:paraId="43CD8040" w14:textId="1A4A67A2" w:rsidR="00E75E98" w:rsidRPr="002F4F4A" w:rsidRDefault="00DD67C1" w:rsidP="00F72709">
      <w:pPr>
        <w:pStyle w:val="ListParagraph"/>
        <w:numPr>
          <w:ilvl w:val="0"/>
          <w:numId w:val="1"/>
        </w:numPr>
        <w:spacing w:after="0" w:line="240" w:lineRule="auto"/>
        <w:jc w:val="both"/>
        <w:rPr>
          <w:u w:val="single"/>
        </w:rPr>
      </w:pPr>
      <w:r>
        <w:rPr>
          <w:u w:val="single"/>
        </w:rPr>
        <w:t>Power Facto</w:t>
      </w:r>
      <w:r w:rsidR="00C83958">
        <w:rPr>
          <w:u w:val="single"/>
        </w:rPr>
        <w:t>r Charge</w:t>
      </w:r>
    </w:p>
    <w:p w14:paraId="3DBDFFA0" w14:textId="77777777" w:rsidR="00E75E98" w:rsidRDefault="00E75E98" w:rsidP="00F72709">
      <w:pPr>
        <w:spacing w:after="0" w:line="240" w:lineRule="auto"/>
        <w:jc w:val="both"/>
      </w:pPr>
    </w:p>
    <w:p w14:paraId="1C00E051" w14:textId="6CD17BAB" w:rsidR="00C83958" w:rsidRDefault="007B3B67" w:rsidP="00F72709">
      <w:pPr>
        <w:spacing w:after="0" w:line="240" w:lineRule="auto"/>
        <w:ind w:left="360"/>
        <w:jc w:val="both"/>
      </w:pPr>
      <w:r>
        <w:t>E</w:t>
      </w:r>
      <w:r w:rsidR="000474D5">
        <w:t>ach</w:t>
      </w:r>
      <w:r w:rsidR="003D2EC0">
        <w:t xml:space="preserve"> AR </w:t>
      </w:r>
      <w:r w:rsidR="00076CE5">
        <w:t>Membe</w:t>
      </w:r>
      <w:r w:rsidR="00C83958">
        <w:t xml:space="preserve">r </w:t>
      </w:r>
      <w:r w:rsidR="003D2EC0">
        <w:t xml:space="preserve">is encouraged to </w:t>
      </w:r>
      <w:r w:rsidR="00C83958">
        <w:t xml:space="preserve">take and use power in such a manner that the power factor, at the time of </w:t>
      </w:r>
      <w:r w:rsidR="003D2EC0">
        <w:t xml:space="preserve">its </w:t>
      </w:r>
      <w:r w:rsidR="00C83958">
        <w:t xml:space="preserve">monthly </w:t>
      </w:r>
      <w:r w:rsidR="003D2EC0">
        <w:t xml:space="preserve">non-coincident </w:t>
      </w:r>
      <w:r w:rsidR="00C83958">
        <w:t xml:space="preserve">peak demand, </w:t>
      </w:r>
      <w:r w:rsidR="003D2EC0">
        <w:t xml:space="preserve">will </w:t>
      </w:r>
      <w:r w:rsidR="00C83958">
        <w:t>not be less than ninety percent (90%)</w:t>
      </w:r>
      <w:r w:rsidR="003D2EC0">
        <w:t>.</w:t>
      </w:r>
    </w:p>
    <w:p w14:paraId="67C0AE4A" w14:textId="77777777" w:rsidR="00C83958" w:rsidRDefault="00C83958" w:rsidP="00F72709">
      <w:pPr>
        <w:spacing w:after="0" w:line="240" w:lineRule="auto"/>
        <w:ind w:left="360"/>
        <w:jc w:val="both"/>
      </w:pPr>
    </w:p>
    <w:p w14:paraId="1EE5F4FC" w14:textId="11B10EE6" w:rsidR="00910906" w:rsidRDefault="00E75E98" w:rsidP="00F72709">
      <w:pPr>
        <w:spacing w:after="0" w:line="240" w:lineRule="auto"/>
        <w:ind w:left="360"/>
        <w:jc w:val="both"/>
      </w:pPr>
      <w:r>
        <w:t xml:space="preserve">If the </w:t>
      </w:r>
      <w:r w:rsidR="003D2EC0">
        <w:t xml:space="preserve">AR </w:t>
      </w:r>
      <w:r w:rsidR="00D3473B">
        <w:t xml:space="preserve">Member’s measured </w:t>
      </w:r>
      <w:r>
        <w:t>power factor</w:t>
      </w:r>
      <w:r w:rsidR="00D3473B">
        <w:t xml:space="preserve">, at the time of </w:t>
      </w:r>
      <w:r w:rsidR="003D2EC0">
        <w:t>its monthly non-coincident peak demand</w:t>
      </w:r>
      <w:r w:rsidR="00D3473B">
        <w:t>,</w:t>
      </w:r>
      <w:r>
        <w:t xml:space="preserve"> is less than </w:t>
      </w:r>
      <w:r w:rsidR="00963E5A">
        <w:t xml:space="preserve">ninety </w:t>
      </w:r>
      <w:r>
        <w:t>percent</w:t>
      </w:r>
      <w:r w:rsidR="00963E5A">
        <w:t xml:space="preserve"> (90%)</w:t>
      </w:r>
      <w:r>
        <w:t xml:space="preserve">, </w:t>
      </w:r>
      <w:r w:rsidR="00C83958">
        <w:t>the Member will be assessed a Power Factor Charge</w:t>
      </w:r>
      <w:r w:rsidR="00963E5A">
        <w:t xml:space="preserve"> as follows:</w:t>
      </w:r>
    </w:p>
    <w:p w14:paraId="02A4AF54" w14:textId="02E6D401" w:rsidR="00963E5A" w:rsidRDefault="00963E5A" w:rsidP="00F72709">
      <w:pPr>
        <w:spacing w:after="0" w:line="240" w:lineRule="auto"/>
        <w:ind w:left="360"/>
        <w:jc w:val="both"/>
      </w:pPr>
    </w:p>
    <w:p w14:paraId="3D14AEE6" w14:textId="6ECF8676" w:rsidR="00963E5A" w:rsidRDefault="00963E5A" w:rsidP="007B3B67">
      <w:pPr>
        <w:tabs>
          <w:tab w:val="left" w:pos="5040"/>
        </w:tabs>
        <w:spacing w:before="120" w:after="0" w:line="240" w:lineRule="auto"/>
        <w:ind w:left="5040" w:hanging="3960"/>
      </w:pPr>
      <w:r>
        <w:t>Power Factor Charge</w:t>
      </w:r>
      <w:r>
        <w:tab/>
        <w:t xml:space="preserve">$2.80 per kVAR applied to the </w:t>
      </w:r>
      <w:r w:rsidR="003D2EC0">
        <w:t xml:space="preserve">amount of </w:t>
      </w:r>
      <w:r>
        <w:t>reactive demand in kVAR by which the metered reactive demand exceeds the reactive demand at a 90% power factor</w:t>
      </w:r>
    </w:p>
    <w:p w14:paraId="697D16F6" w14:textId="77777777" w:rsidR="00092E40" w:rsidRDefault="00092E40" w:rsidP="00F72709">
      <w:pPr>
        <w:spacing w:after="0" w:line="240" w:lineRule="auto"/>
        <w:jc w:val="both"/>
      </w:pPr>
    </w:p>
    <w:p w14:paraId="2AF983DE" w14:textId="7120EC1D" w:rsidR="00937F39" w:rsidRDefault="00262F58" w:rsidP="00B31591">
      <w:pPr>
        <w:spacing w:after="0" w:line="240" w:lineRule="auto"/>
        <w:ind w:left="360"/>
        <w:jc w:val="both"/>
      </w:pPr>
      <w:r>
        <w:t xml:space="preserve">The Agency will not assess and apply </w:t>
      </w:r>
      <w:r w:rsidR="00092E40">
        <w:t xml:space="preserve">power factor charges </w:t>
      </w:r>
      <w:r w:rsidR="0087684B">
        <w:t xml:space="preserve">to the Members </w:t>
      </w:r>
      <w:r w:rsidR="00BF258C">
        <w:t>unless</w:t>
      </w:r>
      <w:r w:rsidR="00092E40">
        <w:t xml:space="preserve"> the</w:t>
      </w:r>
      <w:r w:rsidR="0087684B">
        <w:t xml:space="preserve"> Agency is </w:t>
      </w:r>
      <w:r w:rsidR="000A415A">
        <w:t xml:space="preserve">assessed similar charges from the </w:t>
      </w:r>
      <w:r w:rsidR="002A4CF4">
        <w:t>B</w:t>
      </w:r>
      <w:r w:rsidR="000A415A">
        <w:t xml:space="preserve">alancing </w:t>
      </w:r>
      <w:r w:rsidR="002A4CF4">
        <w:t>A</w:t>
      </w:r>
      <w:r w:rsidR="000A415A">
        <w:t>uthority</w:t>
      </w:r>
      <w:r w:rsidR="002A4CF4">
        <w:t xml:space="preserve"> (BA)</w:t>
      </w:r>
      <w:r w:rsidR="00B31591">
        <w:t xml:space="preserve"> or </w:t>
      </w:r>
      <w:r w:rsidR="002A4CF4">
        <w:t>R</w:t>
      </w:r>
      <w:r w:rsidR="00B31591">
        <w:t xml:space="preserve">egional </w:t>
      </w:r>
      <w:r w:rsidR="002A4CF4">
        <w:t>T</w:t>
      </w:r>
      <w:r w:rsidR="00B31591">
        <w:t xml:space="preserve">ransmission </w:t>
      </w:r>
      <w:r w:rsidR="002A4CF4">
        <w:t>O</w:t>
      </w:r>
      <w:r w:rsidR="00B31591">
        <w:t>rganization</w:t>
      </w:r>
      <w:r w:rsidR="002A4CF4">
        <w:t xml:space="preserve"> (RTO)</w:t>
      </w:r>
      <w:r w:rsidR="00BF258C">
        <w:t>, at which time the Agency will assess these charges to the Members.</w:t>
      </w:r>
    </w:p>
    <w:p w14:paraId="03A41602" w14:textId="77777777" w:rsidR="002879CC" w:rsidRDefault="002879CC" w:rsidP="00F72709">
      <w:pPr>
        <w:spacing w:after="0" w:line="240" w:lineRule="auto"/>
        <w:jc w:val="both"/>
      </w:pPr>
    </w:p>
    <w:p w14:paraId="559F7E96" w14:textId="77777777" w:rsidR="00B31591" w:rsidRDefault="00B31591">
      <w:pPr>
        <w:rPr>
          <w:u w:val="single"/>
        </w:rPr>
      </w:pPr>
      <w:r>
        <w:rPr>
          <w:u w:val="single"/>
        </w:rPr>
        <w:br w:type="page"/>
      </w:r>
    </w:p>
    <w:p w14:paraId="0E44A0C7" w14:textId="109C4213" w:rsidR="00910906" w:rsidRPr="000E7E18" w:rsidRDefault="00910906" w:rsidP="00F72709">
      <w:pPr>
        <w:pStyle w:val="ListParagraph"/>
        <w:numPr>
          <w:ilvl w:val="0"/>
          <w:numId w:val="1"/>
        </w:numPr>
        <w:spacing w:after="0" w:line="240" w:lineRule="auto"/>
        <w:jc w:val="both"/>
        <w:rPr>
          <w:u w:val="single"/>
        </w:rPr>
      </w:pPr>
      <w:r w:rsidRPr="000E7E18">
        <w:rPr>
          <w:u w:val="single"/>
        </w:rPr>
        <w:lastRenderedPageBreak/>
        <w:t>Late Payment Charge</w:t>
      </w:r>
    </w:p>
    <w:p w14:paraId="79D8A385" w14:textId="77777777" w:rsidR="00910906" w:rsidRDefault="00910906" w:rsidP="00F72709">
      <w:pPr>
        <w:spacing w:after="0" w:line="240" w:lineRule="auto"/>
        <w:jc w:val="both"/>
      </w:pPr>
    </w:p>
    <w:p w14:paraId="38E3197C" w14:textId="501CB6F8" w:rsidR="00C92E22" w:rsidRDefault="006E769E" w:rsidP="00F72709">
      <w:pPr>
        <w:spacing w:after="0" w:line="240" w:lineRule="auto"/>
        <w:ind w:left="360"/>
        <w:jc w:val="both"/>
      </w:pPr>
      <w:r>
        <w:t>The Agency may impose a late payment charge equal to five percent (5%) of the unpaid balance on any power bill amounts not paid by the due date specified in the Contract.</w:t>
      </w:r>
    </w:p>
    <w:p w14:paraId="78A41B69" w14:textId="77777777" w:rsidR="00B4675C" w:rsidRDefault="00B4675C" w:rsidP="00F72709">
      <w:pPr>
        <w:spacing w:after="0" w:line="240" w:lineRule="auto"/>
        <w:ind w:left="360"/>
        <w:jc w:val="both"/>
      </w:pPr>
    </w:p>
    <w:p w14:paraId="23ABBF46" w14:textId="170F0B9A" w:rsidR="00380FEB" w:rsidRPr="002F4F4A" w:rsidRDefault="00380FEB" w:rsidP="00380FEB">
      <w:pPr>
        <w:pStyle w:val="ListParagraph"/>
        <w:numPr>
          <w:ilvl w:val="0"/>
          <w:numId w:val="1"/>
        </w:numPr>
        <w:spacing w:after="0" w:line="240" w:lineRule="auto"/>
        <w:jc w:val="both"/>
        <w:rPr>
          <w:u w:val="single"/>
        </w:rPr>
      </w:pPr>
      <w:r>
        <w:rPr>
          <w:u w:val="single"/>
        </w:rPr>
        <w:t xml:space="preserve">COVID-19 Late Payment </w:t>
      </w:r>
      <w:r w:rsidR="007F28B2">
        <w:rPr>
          <w:u w:val="single"/>
        </w:rPr>
        <w:t>Protection</w:t>
      </w:r>
      <w:r>
        <w:rPr>
          <w:u w:val="single"/>
        </w:rPr>
        <w:t xml:space="preserve"> Plan</w:t>
      </w:r>
      <w:r w:rsidR="007F28B2">
        <w:rPr>
          <w:u w:val="single"/>
        </w:rPr>
        <w:t xml:space="preserve"> (LPPP)</w:t>
      </w:r>
    </w:p>
    <w:p w14:paraId="71D60143" w14:textId="395E6C85" w:rsidR="00CA4251" w:rsidRDefault="0030554A" w:rsidP="006424BE">
      <w:pPr>
        <w:pStyle w:val="BodyText"/>
        <w:spacing w:before="240" w:after="120"/>
        <w:ind w:left="360"/>
        <w:jc w:val="both"/>
        <w:rPr>
          <w:rFonts w:asciiTheme="minorHAnsi" w:hAnsiTheme="minorHAnsi" w:cstheme="minorHAnsi"/>
          <w:sz w:val="22"/>
        </w:rPr>
      </w:pPr>
      <w:r>
        <w:rPr>
          <w:rFonts w:asciiTheme="minorHAnsi" w:hAnsiTheme="minorHAnsi" w:cstheme="minorHAnsi"/>
          <w:sz w:val="22"/>
        </w:rPr>
        <w:t>In response to the COVID-19 pandemic, t</w:t>
      </w:r>
      <w:r w:rsidRPr="00F80F02">
        <w:rPr>
          <w:rFonts w:asciiTheme="minorHAnsi" w:hAnsiTheme="minorHAnsi" w:cstheme="minorHAnsi"/>
          <w:sz w:val="22"/>
        </w:rPr>
        <w:t xml:space="preserve">he </w:t>
      </w:r>
      <w:r>
        <w:rPr>
          <w:rFonts w:asciiTheme="minorHAnsi" w:hAnsiTheme="minorHAnsi" w:cstheme="minorHAnsi"/>
          <w:sz w:val="22"/>
        </w:rPr>
        <w:t>Agency</w:t>
      </w:r>
      <w:r w:rsidRPr="00F80F02">
        <w:rPr>
          <w:rFonts w:asciiTheme="minorHAnsi" w:hAnsiTheme="minorHAnsi" w:cstheme="minorHAnsi"/>
          <w:sz w:val="22"/>
        </w:rPr>
        <w:t xml:space="preserve"> </w:t>
      </w:r>
      <w:r w:rsidR="00451F1C">
        <w:rPr>
          <w:rFonts w:asciiTheme="minorHAnsi" w:hAnsiTheme="minorHAnsi" w:cstheme="minorHAnsi"/>
          <w:sz w:val="22"/>
        </w:rPr>
        <w:t>extended</w:t>
      </w:r>
      <w:r w:rsidR="00451F1C" w:rsidRPr="00F80F02">
        <w:rPr>
          <w:rFonts w:asciiTheme="minorHAnsi" w:hAnsiTheme="minorHAnsi" w:cstheme="minorHAnsi"/>
          <w:sz w:val="22"/>
        </w:rPr>
        <w:t xml:space="preserve"> </w:t>
      </w:r>
      <w:r>
        <w:rPr>
          <w:rFonts w:asciiTheme="minorHAnsi" w:hAnsiTheme="minorHAnsi" w:cstheme="minorHAnsi"/>
          <w:sz w:val="22"/>
        </w:rPr>
        <w:t xml:space="preserve">the </w:t>
      </w:r>
      <w:r w:rsidRPr="00CD54FF">
        <w:rPr>
          <w:rFonts w:asciiTheme="minorHAnsi" w:hAnsiTheme="minorHAnsi" w:cstheme="minorHAnsi"/>
          <w:sz w:val="22"/>
        </w:rPr>
        <w:t xml:space="preserve">KYMEA COVID-19 </w:t>
      </w:r>
      <w:r w:rsidR="004906BA">
        <w:rPr>
          <w:rFonts w:asciiTheme="minorHAnsi" w:hAnsiTheme="minorHAnsi" w:cstheme="minorHAnsi"/>
          <w:sz w:val="22"/>
        </w:rPr>
        <w:t>Late Payment</w:t>
      </w:r>
      <w:r w:rsidRPr="00CD54FF">
        <w:rPr>
          <w:rFonts w:asciiTheme="minorHAnsi" w:hAnsiTheme="minorHAnsi" w:cstheme="minorHAnsi"/>
          <w:sz w:val="22"/>
        </w:rPr>
        <w:t xml:space="preserve"> </w:t>
      </w:r>
      <w:r w:rsidR="009848A9">
        <w:rPr>
          <w:rFonts w:asciiTheme="minorHAnsi" w:hAnsiTheme="minorHAnsi" w:cstheme="minorHAnsi"/>
          <w:sz w:val="22"/>
        </w:rPr>
        <w:t>Protection</w:t>
      </w:r>
      <w:r w:rsidRPr="00CD54FF">
        <w:rPr>
          <w:rFonts w:asciiTheme="minorHAnsi" w:hAnsiTheme="minorHAnsi" w:cstheme="minorHAnsi"/>
          <w:sz w:val="22"/>
        </w:rPr>
        <w:t xml:space="preserve"> Plan (“</w:t>
      </w:r>
      <w:r w:rsidR="00895DAC">
        <w:rPr>
          <w:rFonts w:asciiTheme="minorHAnsi" w:hAnsiTheme="minorHAnsi" w:cstheme="minorHAnsi"/>
          <w:sz w:val="22"/>
        </w:rPr>
        <w:t>LP</w:t>
      </w:r>
      <w:r w:rsidR="00EF0C05">
        <w:rPr>
          <w:rFonts w:asciiTheme="minorHAnsi" w:hAnsiTheme="minorHAnsi" w:cstheme="minorHAnsi"/>
          <w:sz w:val="22"/>
        </w:rPr>
        <w:t>P</w:t>
      </w:r>
      <w:r>
        <w:rPr>
          <w:rFonts w:asciiTheme="minorHAnsi" w:hAnsiTheme="minorHAnsi" w:cstheme="minorHAnsi"/>
          <w:sz w:val="22"/>
        </w:rPr>
        <w:t>P</w:t>
      </w:r>
      <w:r w:rsidRPr="00CD54FF">
        <w:rPr>
          <w:rFonts w:asciiTheme="minorHAnsi" w:hAnsiTheme="minorHAnsi" w:cstheme="minorHAnsi"/>
          <w:sz w:val="22"/>
        </w:rPr>
        <w:t>”)</w:t>
      </w:r>
      <w:r>
        <w:rPr>
          <w:rFonts w:asciiTheme="minorHAnsi" w:hAnsiTheme="minorHAnsi" w:cstheme="minorHAnsi"/>
          <w:sz w:val="22"/>
        </w:rPr>
        <w:t>.</w:t>
      </w:r>
      <w:r w:rsidR="00F3278D">
        <w:rPr>
          <w:rFonts w:asciiTheme="minorHAnsi" w:hAnsiTheme="minorHAnsi" w:cstheme="minorHAnsi"/>
          <w:sz w:val="22"/>
        </w:rPr>
        <w:t xml:space="preserve"> </w:t>
      </w:r>
      <w:r>
        <w:rPr>
          <w:rFonts w:asciiTheme="minorHAnsi" w:hAnsiTheme="minorHAnsi" w:cstheme="minorHAnsi"/>
          <w:sz w:val="22"/>
        </w:rPr>
        <w:t xml:space="preserve">The </w:t>
      </w:r>
      <w:r w:rsidR="00895DAC">
        <w:rPr>
          <w:rFonts w:asciiTheme="minorHAnsi" w:hAnsiTheme="minorHAnsi" w:cstheme="minorHAnsi"/>
          <w:sz w:val="22"/>
        </w:rPr>
        <w:t>LP</w:t>
      </w:r>
      <w:r w:rsidR="00EF0C05">
        <w:rPr>
          <w:rFonts w:asciiTheme="minorHAnsi" w:hAnsiTheme="minorHAnsi" w:cstheme="minorHAnsi"/>
          <w:sz w:val="22"/>
        </w:rPr>
        <w:t>P</w:t>
      </w:r>
      <w:r>
        <w:rPr>
          <w:rFonts w:asciiTheme="minorHAnsi" w:hAnsiTheme="minorHAnsi" w:cstheme="minorHAnsi"/>
          <w:sz w:val="22"/>
        </w:rPr>
        <w:t>P</w:t>
      </w:r>
      <w:r w:rsidRPr="00CD54FF">
        <w:rPr>
          <w:rFonts w:asciiTheme="minorHAnsi" w:hAnsiTheme="minorHAnsi" w:cstheme="minorHAnsi"/>
          <w:sz w:val="22"/>
        </w:rPr>
        <w:t xml:space="preserve"> is aimed at alleviating </w:t>
      </w:r>
      <w:r w:rsidR="00E965D3">
        <w:rPr>
          <w:rFonts w:asciiTheme="minorHAnsi" w:hAnsiTheme="minorHAnsi" w:cstheme="minorHAnsi"/>
          <w:sz w:val="22"/>
        </w:rPr>
        <w:t xml:space="preserve">AR member </w:t>
      </w:r>
      <w:r w:rsidR="00CE3922">
        <w:rPr>
          <w:rFonts w:asciiTheme="minorHAnsi" w:hAnsiTheme="minorHAnsi" w:cstheme="minorHAnsi"/>
          <w:sz w:val="22"/>
        </w:rPr>
        <w:t xml:space="preserve">revenue </w:t>
      </w:r>
      <w:r w:rsidR="000E655F">
        <w:rPr>
          <w:rFonts w:asciiTheme="minorHAnsi" w:hAnsiTheme="minorHAnsi" w:cstheme="minorHAnsi"/>
          <w:sz w:val="22"/>
        </w:rPr>
        <w:t xml:space="preserve">collection deficiencies </w:t>
      </w:r>
      <w:r w:rsidR="00CE3922">
        <w:rPr>
          <w:rFonts w:asciiTheme="minorHAnsi" w:hAnsiTheme="minorHAnsi" w:cstheme="minorHAnsi"/>
          <w:sz w:val="22"/>
        </w:rPr>
        <w:t xml:space="preserve">driven by </w:t>
      </w:r>
      <w:r w:rsidRPr="00CD54FF">
        <w:rPr>
          <w:rFonts w:asciiTheme="minorHAnsi" w:hAnsiTheme="minorHAnsi" w:cstheme="minorHAnsi"/>
          <w:sz w:val="22"/>
        </w:rPr>
        <w:t>the</w:t>
      </w:r>
      <w:r w:rsidR="00434E97">
        <w:rPr>
          <w:rFonts w:asciiTheme="minorHAnsi" w:hAnsiTheme="minorHAnsi" w:cstheme="minorHAnsi"/>
          <w:sz w:val="22"/>
        </w:rPr>
        <w:t xml:space="preserve"> </w:t>
      </w:r>
      <w:r w:rsidR="00CE41CE">
        <w:rPr>
          <w:rFonts w:asciiTheme="minorHAnsi" w:hAnsiTheme="minorHAnsi" w:cstheme="minorHAnsi"/>
          <w:sz w:val="22"/>
        </w:rPr>
        <w:t>customer</w:t>
      </w:r>
      <w:r w:rsidR="00434E97">
        <w:rPr>
          <w:rFonts w:asciiTheme="minorHAnsi" w:hAnsiTheme="minorHAnsi" w:cstheme="minorHAnsi"/>
          <w:sz w:val="22"/>
        </w:rPr>
        <w:t xml:space="preserve"> disconnect </w:t>
      </w:r>
      <w:r w:rsidR="006424BE" w:rsidRPr="006424BE">
        <w:rPr>
          <w:rFonts w:asciiTheme="minorHAnsi" w:hAnsiTheme="minorHAnsi" w:cstheme="minorHAnsi"/>
          <w:sz w:val="22"/>
        </w:rPr>
        <w:t>suspen</w:t>
      </w:r>
      <w:r w:rsidR="00434E97">
        <w:rPr>
          <w:rFonts w:asciiTheme="minorHAnsi" w:hAnsiTheme="minorHAnsi" w:cstheme="minorHAnsi"/>
          <w:sz w:val="22"/>
        </w:rPr>
        <w:t>sion</w:t>
      </w:r>
      <w:r w:rsidR="00CE41CE">
        <w:rPr>
          <w:rFonts w:asciiTheme="minorHAnsi" w:hAnsiTheme="minorHAnsi" w:cstheme="minorHAnsi"/>
          <w:sz w:val="22"/>
        </w:rPr>
        <w:t>s</w:t>
      </w:r>
      <w:r w:rsidR="006424BE" w:rsidRPr="006424BE">
        <w:rPr>
          <w:rFonts w:asciiTheme="minorHAnsi" w:hAnsiTheme="minorHAnsi" w:cstheme="minorHAnsi"/>
          <w:sz w:val="22"/>
        </w:rPr>
        <w:t xml:space="preserve"> in the wake of the coronavirus.</w:t>
      </w:r>
    </w:p>
    <w:p w14:paraId="1DB42993" w14:textId="65E93F1C" w:rsidR="00380FEB" w:rsidRDefault="00CA4251" w:rsidP="00571A15">
      <w:pPr>
        <w:pStyle w:val="BodyText"/>
        <w:spacing w:before="240" w:after="120"/>
        <w:ind w:left="360"/>
        <w:jc w:val="both"/>
      </w:pPr>
      <w:r>
        <w:rPr>
          <w:rFonts w:asciiTheme="minorHAnsi" w:hAnsiTheme="minorHAnsi" w:cstheme="minorHAnsi"/>
          <w:sz w:val="22"/>
        </w:rPr>
        <w:t>The LP</w:t>
      </w:r>
      <w:r w:rsidR="00EF0C05">
        <w:rPr>
          <w:rFonts w:asciiTheme="minorHAnsi" w:hAnsiTheme="minorHAnsi" w:cstheme="minorHAnsi"/>
          <w:sz w:val="22"/>
        </w:rPr>
        <w:t>P</w:t>
      </w:r>
      <w:r>
        <w:rPr>
          <w:rFonts w:asciiTheme="minorHAnsi" w:hAnsiTheme="minorHAnsi" w:cstheme="minorHAnsi"/>
          <w:sz w:val="22"/>
        </w:rPr>
        <w:t xml:space="preserve">P allows the </w:t>
      </w:r>
      <w:r w:rsidR="009959D5">
        <w:rPr>
          <w:rFonts w:asciiTheme="minorHAnsi" w:hAnsiTheme="minorHAnsi" w:cstheme="minorHAnsi"/>
          <w:sz w:val="22"/>
        </w:rPr>
        <w:t xml:space="preserve">Agency </w:t>
      </w:r>
      <w:r w:rsidR="00DD4037">
        <w:rPr>
          <w:rFonts w:asciiTheme="minorHAnsi" w:hAnsiTheme="minorHAnsi" w:cstheme="minorHAnsi"/>
          <w:sz w:val="22"/>
        </w:rPr>
        <w:t>to</w:t>
      </w:r>
      <w:r w:rsidR="009959D5">
        <w:rPr>
          <w:rFonts w:asciiTheme="minorHAnsi" w:hAnsiTheme="minorHAnsi" w:cstheme="minorHAnsi"/>
          <w:sz w:val="22"/>
        </w:rPr>
        <w:t xml:space="preserve"> work with </w:t>
      </w:r>
      <w:r w:rsidR="00DD4037">
        <w:rPr>
          <w:rFonts w:asciiTheme="minorHAnsi" w:hAnsiTheme="minorHAnsi" w:cstheme="minorHAnsi"/>
          <w:sz w:val="22"/>
        </w:rPr>
        <w:t xml:space="preserve">AR </w:t>
      </w:r>
      <w:r w:rsidR="009959D5">
        <w:rPr>
          <w:rFonts w:asciiTheme="minorHAnsi" w:hAnsiTheme="minorHAnsi" w:cstheme="minorHAnsi"/>
          <w:sz w:val="22"/>
        </w:rPr>
        <w:t xml:space="preserve">Members </w:t>
      </w:r>
      <w:r w:rsidR="00DA7915">
        <w:rPr>
          <w:rFonts w:asciiTheme="minorHAnsi" w:hAnsiTheme="minorHAnsi" w:cstheme="minorHAnsi"/>
          <w:sz w:val="22"/>
        </w:rPr>
        <w:t xml:space="preserve">who may </w:t>
      </w:r>
      <w:r w:rsidR="00BD1040">
        <w:rPr>
          <w:rFonts w:asciiTheme="minorHAnsi" w:hAnsiTheme="minorHAnsi" w:cstheme="minorHAnsi"/>
          <w:sz w:val="22"/>
        </w:rPr>
        <w:t xml:space="preserve">only </w:t>
      </w:r>
      <w:r w:rsidR="00DA7915">
        <w:rPr>
          <w:rFonts w:asciiTheme="minorHAnsi" w:hAnsiTheme="minorHAnsi" w:cstheme="minorHAnsi"/>
          <w:sz w:val="22"/>
        </w:rPr>
        <w:t xml:space="preserve">be able to pay </w:t>
      </w:r>
      <w:r w:rsidR="00FD7ADA">
        <w:rPr>
          <w:rFonts w:asciiTheme="minorHAnsi" w:hAnsiTheme="minorHAnsi" w:cstheme="minorHAnsi"/>
          <w:sz w:val="22"/>
        </w:rPr>
        <w:t xml:space="preserve">a portion of </w:t>
      </w:r>
      <w:r w:rsidR="00DA7915">
        <w:rPr>
          <w:rFonts w:asciiTheme="minorHAnsi" w:hAnsiTheme="minorHAnsi" w:cstheme="minorHAnsi"/>
          <w:sz w:val="22"/>
        </w:rPr>
        <w:t xml:space="preserve">their </w:t>
      </w:r>
      <w:r w:rsidR="00BD1040">
        <w:rPr>
          <w:rFonts w:asciiTheme="minorHAnsi" w:hAnsiTheme="minorHAnsi" w:cstheme="minorHAnsi"/>
          <w:sz w:val="22"/>
        </w:rPr>
        <w:t xml:space="preserve">KYMEA </w:t>
      </w:r>
      <w:r w:rsidR="00DA7915">
        <w:rPr>
          <w:rFonts w:asciiTheme="minorHAnsi" w:hAnsiTheme="minorHAnsi" w:cstheme="minorHAnsi"/>
          <w:sz w:val="22"/>
        </w:rPr>
        <w:t>power bill.</w:t>
      </w:r>
      <w:r w:rsidR="00F3278D">
        <w:rPr>
          <w:rFonts w:asciiTheme="minorHAnsi" w:hAnsiTheme="minorHAnsi" w:cstheme="minorHAnsi"/>
          <w:sz w:val="22"/>
        </w:rPr>
        <w:t xml:space="preserve"> </w:t>
      </w:r>
      <w:r w:rsidR="00DA7915">
        <w:rPr>
          <w:rFonts w:asciiTheme="minorHAnsi" w:hAnsiTheme="minorHAnsi" w:cstheme="minorHAnsi"/>
          <w:sz w:val="22"/>
        </w:rPr>
        <w:t>The Agency</w:t>
      </w:r>
      <w:r w:rsidR="006424BE" w:rsidRPr="006424BE">
        <w:rPr>
          <w:rFonts w:asciiTheme="minorHAnsi" w:hAnsiTheme="minorHAnsi" w:cstheme="minorHAnsi"/>
          <w:sz w:val="22"/>
        </w:rPr>
        <w:t xml:space="preserve"> </w:t>
      </w:r>
      <w:r w:rsidR="00DD4037">
        <w:rPr>
          <w:rFonts w:asciiTheme="minorHAnsi" w:hAnsiTheme="minorHAnsi" w:cstheme="minorHAnsi"/>
          <w:sz w:val="22"/>
        </w:rPr>
        <w:t>may</w:t>
      </w:r>
      <w:r w:rsidR="00DA7915">
        <w:rPr>
          <w:rFonts w:asciiTheme="minorHAnsi" w:hAnsiTheme="minorHAnsi" w:cstheme="minorHAnsi"/>
          <w:sz w:val="22"/>
        </w:rPr>
        <w:t xml:space="preserve"> </w:t>
      </w:r>
      <w:r w:rsidR="006424BE" w:rsidRPr="006424BE">
        <w:rPr>
          <w:rFonts w:asciiTheme="minorHAnsi" w:hAnsiTheme="minorHAnsi" w:cstheme="minorHAnsi"/>
          <w:sz w:val="22"/>
        </w:rPr>
        <w:t xml:space="preserve">waive late fees </w:t>
      </w:r>
      <w:r w:rsidR="001A24D1">
        <w:rPr>
          <w:rFonts w:asciiTheme="minorHAnsi" w:hAnsiTheme="minorHAnsi" w:cstheme="minorHAnsi"/>
          <w:sz w:val="22"/>
        </w:rPr>
        <w:t xml:space="preserve">and </w:t>
      </w:r>
      <w:r w:rsidR="00C36B22">
        <w:rPr>
          <w:rFonts w:asciiTheme="minorHAnsi" w:hAnsiTheme="minorHAnsi" w:cstheme="minorHAnsi"/>
          <w:sz w:val="22"/>
        </w:rPr>
        <w:t>negotiate</w:t>
      </w:r>
      <w:r w:rsidR="001A24D1">
        <w:rPr>
          <w:rFonts w:asciiTheme="minorHAnsi" w:hAnsiTheme="minorHAnsi" w:cstheme="minorHAnsi"/>
          <w:sz w:val="22"/>
        </w:rPr>
        <w:t xml:space="preserve"> with the AR member to develop a payment schedule</w:t>
      </w:r>
      <w:r w:rsidR="00712271">
        <w:rPr>
          <w:rFonts w:asciiTheme="minorHAnsi" w:hAnsiTheme="minorHAnsi" w:cstheme="minorHAnsi"/>
          <w:sz w:val="22"/>
        </w:rPr>
        <w:t>.</w:t>
      </w:r>
      <w:r w:rsidR="00F3278D">
        <w:rPr>
          <w:rFonts w:asciiTheme="minorHAnsi" w:hAnsiTheme="minorHAnsi" w:cstheme="minorHAnsi"/>
          <w:sz w:val="22"/>
        </w:rPr>
        <w:t xml:space="preserve"> </w:t>
      </w:r>
      <w:r w:rsidR="00712271">
        <w:rPr>
          <w:rFonts w:asciiTheme="minorHAnsi" w:hAnsiTheme="minorHAnsi" w:cstheme="minorHAnsi"/>
          <w:sz w:val="22"/>
        </w:rPr>
        <w:t xml:space="preserve">The AR Member will be responsible for their power bill in its </w:t>
      </w:r>
      <w:r w:rsidR="00571A15">
        <w:rPr>
          <w:rFonts w:asciiTheme="minorHAnsi" w:hAnsiTheme="minorHAnsi" w:cstheme="minorHAnsi"/>
          <w:sz w:val="22"/>
        </w:rPr>
        <w:t>entirety</w:t>
      </w:r>
      <w:r w:rsidR="00712271">
        <w:rPr>
          <w:rFonts w:asciiTheme="minorHAnsi" w:hAnsiTheme="minorHAnsi" w:cstheme="minorHAnsi"/>
          <w:sz w:val="22"/>
        </w:rPr>
        <w:t xml:space="preserve"> by the end of the </w:t>
      </w:r>
      <w:r w:rsidR="00571A15">
        <w:rPr>
          <w:rFonts w:asciiTheme="minorHAnsi" w:hAnsiTheme="minorHAnsi" w:cstheme="minorHAnsi"/>
          <w:sz w:val="22"/>
        </w:rPr>
        <w:t>FY202</w:t>
      </w:r>
      <w:r w:rsidR="00EC7760">
        <w:rPr>
          <w:rFonts w:asciiTheme="minorHAnsi" w:hAnsiTheme="minorHAnsi" w:cstheme="minorHAnsi"/>
          <w:sz w:val="22"/>
        </w:rPr>
        <w:t>2</w:t>
      </w:r>
      <w:r w:rsidR="00571A15">
        <w:rPr>
          <w:rFonts w:asciiTheme="minorHAnsi" w:hAnsiTheme="minorHAnsi" w:cstheme="minorHAnsi"/>
          <w:sz w:val="22"/>
        </w:rPr>
        <w:t xml:space="preserve"> fiscal year</w:t>
      </w:r>
      <w:r w:rsidR="00E62F39">
        <w:rPr>
          <w:rFonts w:asciiTheme="minorHAnsi" w:hAnsiTheme="minorHAnsi" w:cstheme="minorHAnsi"/>
          <w:sz w:val="22"/>
        </w:rPr>
        <w:t>,</w:t>
      </w:r>
      <w:r w:rsidR="00242B0D">
        <w:rPr>
          <w:rFonts w:asciiTheme="minorHAnsi" w:hAnsiTheme="minorHAnsi" w:cstheme="minorHAnsi"/>
          <w:sz w:val="22"/>
        </w:rPr>
        <w:t xml:space="preserve"> at which time late payment charges </w:t>
      </w:r>
      <w:r w:rsidR="00C3075F">
        <w:rPr>
          <w:rFonts w:asciiTheme="minorHAnsi" w:hAnsiTheme="minorHAnsi" w:cstheme="minorHAnsi"/>
          <w:sz w:val="22"/>
        </w:rPr>
        <w:t>may</w:t>
      </w:r>
      <w:r w:rsidR="00242B0D">
        <w:rPr>
          <w:rFonts w:asciiTheme="minorHAnsi" w:hAnsiTheme="minorHAnsi" w:cstheme="minorHAnsi"/>
          <w:sz w:val="22"/>
        </w:rPr>
        <w:t xml:space="preserve"> be imposed</w:t>
      </w:r>
      <w:r w:rsidR="00571A15">
        <w:rPr>
          <w:rFonts w:asciiTheme="minorHAnsi" w:hAnsiTheme="minorHAnsi" w:cstheme="minorHAnsi"/>
          <w:sz w:val="22"/>
        </w:rPr>
        <w:t>.</w:t>
      </w:r>
    </w:p>
    <w:p w14:paraId="19C769E6" w14:textId="77777777" w:rsidR="00C92E22" w:rsidRDefault="00C92E22" w:rsidP="00F72709">
      <w:pPr>
        <w:spacing w:after="0" w:line="240" w:lineRule="auto"/>
        <w:jc w:val="both"/>
      </w:pPr>
    </w:p>
    <w:p w14:paraId="3C4BEF04" w14:textId="77777777" w:rsidR="00B56AAB" w:rsidRDefault="00B56AAB" w:rsidP="00F72709">
      <w:pPr>
        <w:spacing w:after="0" w:line="240" w:lineRule="auto"/>
        <w:jc w:val="both"/>
        <w:sectPr w:rsidR="00B56A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DBEDBC6" w14:textId="01F24347" w:rsidR="006A7670" w:rsidRDefault="006A7670" w:rsidP="00F72709">
      <w:pPr>
        <w:spacing w:after="0" w:line="240" w:lineRule="auto"/>
        <w:jc w:val="both"/>
      </w:pPr>
    </w:p>
    <w:p w14:paraId="460B9E62" w14:textId="7B8D8899" w:rsidR="006A7670" w:rsidRPr="006A7670" w:rsidRDefault="006A7670" w:rsidP="00F72709">
      <w:pPr>
        <w:spacing w:after="0" w:line="240" w:lineRule="auto"/>
        <w:jc w:val="both"/>
        <w:rPr>
          <w:b/>
        </w:rPr>
      </w:pPr>
      <w:r w:rsidRPr="006A7670">
        <w:rPr>
          <w:b/>
        </w:rPr>
        <w:t>SCHEDULE A</w:t>
      </w:r>
    </w:p>
    <w:p w14:paraId="7FBE5601" w14:textId="60EC5537" w:rsidR="006A7670" w:rsidRPr="006A7670" w:rsidRDefault="006A7670" w:rsidP="00F72709">
      <w:pPr>
        <w:spacing w:after="0" w:line="240" w:lineRule="auto"/>
        <w:jc w:val="both"/>
        <w:rPr>
          <w:b/>
        </w:rPr>
      </w:pPr>
      <w:r w:rsidRPr="006A7670">
        <w:rPr>
          <w:b/>
        </w:rPr>
        <w:t>POINTS OF DELIVERY</w:t>
      </w:r>
    </w:p>
    <w:p w14:paraId="7B8F0D02" w14:textId="77777777" w:rsidR="006A7670" w:rsidRDefault="006A7670" w:rsidP="00F72709">
      <w:pPr>
        <w:spacing w:after="0" w:line="240" w:lineRule="auto"/>
        <w:jc w:val="both"/>
      </w:pPr>
    </w:p>
    <w:tbl>
      <w:tblPr>
        <w:tblW w:w="4950" w:type="dxa"/>
        <w:jc w:val="center"/>
        <w:tblLayout w:type="fixed"/>
        <w:tblLook w:val="01E0" w:firstRow="1" w:lastRow="1" w:firstColumn="1" w:lastColumn="1" w:noHBand="0" w:noVBand="0"/>
      </w:tblPr>
      <w:tblGrid>
        <w:gridCol w:w="810"/>
        <w:gridCol w:w="2880"/>
        <w:gridCol w:w="1260"/>
      </w:tblGrid>
      <w:tr w:rsidR="00B56AAB" w:rsidRPr="00FC20E4" w14:paraId="6AE9632F" w14:textId="77777777" w:rsidTr="00B56AAB">
        <w:trPr>
          <w:jc w:val="center"/>
        </w:trPr>
        <w:tc>
          <w:tcPr>
            <w:tcW w:w="810" w:type="dxa"/>
            <w:tcBorders>
              <w:bottom w:val="single" w:sz="4" w:space="0" w:color="auto"/>
            </w:tcBorders>
            <w:vAlign w:val="center"/>
          </w:tcPr>
          <w:p w14:paraId="580ACE39" w14:textId="0C88A1D4" w:rsidR="00B56AAB" w:rsidRPr="00D33E56" w:rsidRDefault="00B56AAB" w:rsidP="00F72709">
            <w:pPr>
              <w:spacing w:after="0" w:line="240" w:lineRule="auto"/>
              <w:jc w:val="both"/>
              <w:rPr>
                <w:b/>
              </w:rPr>
            </w:pPr>
            <w:r>
              <w:rPr>
                <w:b/>
              </w:rPr>
              <w:t>No.</w:t>
            </w:r>
          </w:p>
        </w:tc>
        <w:tc>
          <w:tcPr>
            <w:tcW w:w="2880" w:type="dxa"/>
            <w:tcBorders>
              <w:bottom w:val="single" w:sz="4" w:space="0" w:color="auto"/>
            </w:tcBorders>
            <w:vAlign w:val="center"/>
          </w:tcPr>
          <w:p w14:paraId="7F64992D" w14:textId="669ECED3" w:rsidR="00B56AAB" w:rsidRPr="00D33E56" w:rsidRDefault="00B56AAB" w:rsidP="00F72709">
            <w:pPr>
              <w:spacing w:after="0" w:line="240" w:lineRule="auto"/>
              <w:jc w:val="both"/>
              <w:rPr>
                <w:b/>
              </w:rPr>
            </w:pPr>
            <w:r>
              <w:rPr>
                <w:b/>
              </w:rPr>
              <w:t>Delivery Point Name</w:t>
            </w:r>
          </w:p>
        </w:tc>
        <w:tc>
          <w:tcPr>
            <w:tcW w:w="1260" w:type="dxa"/>
            <w:tcBorders>
              <w:bottom w:val="single" w:sz="4" w:space="0" w:color="auto"/>
            </w:tcBorders>
            <w:vAlign w:val="center"/>
          </w:tcPr>
          <w:p w14:paraId="319637DA" w14:textId="67175930" w:rsidR="00B56AAB" w:rsidRPr="00D33E56" w:rsidRDefault="00B56AAB" w:rsidP="00F72709">
            <w:pPr>
              <w:spacing w:after="0" w:line="240" w:lineRule="auto"/>
              <w:jc w:val="both"/>
              <w:rPr>
                <w:b/>
              </w:rPr>
            </w:pPr>
            <w:r>
              <w:rPr>
                <w:b/>
              </w:rPr>
              <w:t>Voltage Level</w:t>
            </w:r>
          </w:p>
        </w:tc>
      </w:tr>
      <w:tr w:rsidR="003927E3" w:rsidRPr="00FC20E4" w14:paraId="566D0595" w14:textId="77777777" w:rsidTr="00B56AAB">
        <w:trPr>
          <w:jc w:val="center"/>
        </w:trPr>
        <w:tc>
          <w:tcPr>
            <w:tcW w:w="810" w:type="dxa"/>
          </w:tcPr>
          <w:p w14:paraId="168EFCBC" w14:textId="525AF146" w:rsidR="003927E3" w:rsidRPr="00FC20E4" w:rsidRDefault="003927E3" w:rsidP="00F72709">
            <w:pPr>
              <w:spacing w:after="0" w:line="240" w:lineRule="auto"/>
              <w:jc w:val="both"/>
            </w:pPr>
            <w:r>
              <w:t>1</w:t>
            </w:r>
          </w:p>
        </w:tc>
        <w:tc>
          <w:tcPr>
            <w:tcW w:w="2880" w:type="dxa"/>
          </w:tcPr>
          <w:p w14:paraId="521CB26A" w14:textId="34E0ABA8" w:rsidR="003927E3" w:rsidRPr="00FC20E4" w:rsidRDefault="003927E3" w:rsidP="00F72709">
            <w:pPr>
              <w:spacing w:after="0" w:line="240" w:lineRule="auto"/>
              <w:jc w:val="both"/>
            </w:pPr>
            <w:r w:rsidRPr="003A6D99">
              <w:t>Barbourville City</w:t>
            </w:r>
          </w:p>
        </w:tc>
        <w:tc>
          <w:tcPr>
            <w:tcW w:w="1260" w:type="dxa"/>
          </w:tcPr>
          <w:p w14:paraId="0682791D" w14:textId="2A2618FC" w:rsidR="003927E3" w:rsidRPr="00FC20E4" w:rsidDel="0020787B" w:rsidRDefault="003927E3" w:rsidP="00F72709">
            <w:pPr>
              <w:tabs>
                <w:tab w:val="decimal" w:pos="525"/>
              </w:tabs>
              <w:spacing w:after="0" w:line="240" w:lineRule="auto"/>
              <w:jc w:val="both"/>
            </w:pPr>
            <w:r w:rsidRPr="003A6D99">
              <w:t>69kV</w:t>
            </w:r>
          </w:p>
        </w:tc>
      </w:tr>
      <w:tr w:rsidR="003927E3" w:rsidRPr="00FC20E4" w14:paraId="71C0B506" w14:textId="77777777" w:rsidTr="00B56AAB">
        <w:trPr>
          <w:jc w:val="center"/>
        </w:trPr>
        <w:tc>
          <w:tcPr>
            <w:tcW w:w="810" w:type="dxa"/>
          </w:tcPr>
          <w:p w14:paraId="2F7BF9E0" w14:textId="5E1455C5" w:rsidR="003927E3" w:rsidRPr="00FC20E4" w:rsidRDefault="003927E3" w:rsidP="00F72709">
            <w:pPr>
              <w:spacing w:after="0" w:line="240" w:lineRule="auto"/>
              <w:jc w:val="both"/>
            </w:pPr>
            <w:r>
              <w:t>2</w:t>
            </w:r>
          </w:p>
        </w:tc>
        <w:tc>
          <w:tcPr>
            <w:tcW w:w="2880" w:type="dxa"/>
          </w:tcPr>
          <w:p w14:paraId="2E78551A" w14:textId="129943EE" w:rsidR="003927E3" w:rsidRPr="00FC20E4" w:rsidRDefault="003927E3" w:rsidP="00F72709">
            <w:pPr>
              <w:spacing w:after="0" w:line="240" w:lineRule="auto"/>
              <w:jc w:val="both"/>
            </w:pPr>
            <w:r w:rsidRPr="003A6D99">
              <w:t>Bardwell City</w:t>
            </w:r>
          </w:p>
        </w:tc>
        <w:tc>
          <w:tcPr>
            <w:tcW w:w="1260" w:type="dxa"/>
          </w:tcPr>
          <w:p w14:paraId="422DCA8F" w14:textId="1CCFC6C6" w:rsidR="003927E3" w:rsidRPr="00FC20E4" w:rsidRDefault="003927E3" w:rsidP="00F72709">
            <w:pPr>
              <w:tabs>
                <w:tab w:val="decimal" w:pos="525"/>
              </w:tabs>
              <w:spacing w:after="0" w:line="240" w:lineRule="auto"/>
              <w:jc w:val="both"/>
            </w:pPr>
            <w:r w:rsidRPr="003A6D99">
              <w:t>69kV</w:t>
            </w:r>
          </w:p>
        </w:tc>
      </w:tr>
      <w:tr w:rsidR="003927E3" w:rsidRPr="00FC20E4" w14:paraId="0B341F07" w14:textId="77777777" w:rsidTr="00B56AAB">
        <w:trPr>
          <w:jc w:val="center"/>
        </w:trPr>
        <w:tc>
          <w:tcPr>
            <w:tcW w:w="810" w:type="dxa"/>
          </w:tcPr>
          <w:p w14:paraId="2E2E41F8" w14:textId="67E8D7B9" w:rsidR="003927E3" w:rsidRPr="00FC20E4" w:rsidRDefault="003927E3" w:rsidP="00F72709">
            <w:pPr>
              <w:spacing w:after="0" w:line="240" w:lineRule="auto"/>
              <w:jc w:val="both"/>
            </w:pPr>
            <w:r>
              <w:t>3</w:t>
            </w:r>
          </w:p>
        </w:tc>
        <w:tc>
          <w:tcPr>
            <w:tcW w:w="2880" w:type="dxa"/>
          </w:tcPr>
          <w:p w14:paraId="3FA59E89" w14:textId="3ED6B519" w:rsidR="003927E3" w:rsidRPr="00FC20E4" w:rsidRDefault="003927E3" w:rsidP="00F72709">
            <w:pPr>
              <w:spacing w:after="0" w:line="240" w:lineRule="auto"/>
              <w:jc w:val="both"/>
            </w:pPr>
            <w:r w:rsidRPr="003A6D99">
              <w:t>Corbin 1 North</w:t>
            </w:r>
          </w:p>
        </w:tc>
        <w:tc>
          <w:tcPr>
            <w:tcW w:w="1260" w:type="dxa"/>
          </w:tcPr>
          <w:p w14:paraId="4FBFC6A2" w14:textId="4DEE4B89" w:rsidR="003927E3" w:rsidRPr="00FC20E4" w:rsidRDefault="003927E3" w:rsidP="00F72709">
            <w:pPr>
              <w:tabs>
                <w:tab w:val="decimal" w:pos="525"/>
              </w:tabs>
              <w:spacing w:after="0" w:line="240" w:lineRule="auto"/>
              <w:jc w:val="both"/>
            </w:pPr>
            <w:r w:rsidRPr="003A6D99">
              <w:t>69kV</w:t>
            </w:r>
          </w:p>
        </w:tc>
      </w:tr>
      <w:tr w:rsidR="003927E3" w:rsidRPr="00FC20E4" w14:paraId="2354EAA5" w14:textId="77777777" w:rsidTr="00B56AAB">
        <w:trPr>
          <w:jc w:val="center"/>
        </w:trPr>
        <w:tc>
          <w:tcPr>
            <w:tcW w:w="810" w:type="dxa"/>
          </w:tcPr>
          <w:p w14:paraId="699711C7" w14:textId="4FBB3B1E" w:rsidR="003927E3" w:rsidRPr="00FC20E4" w:rsidRDefault="003927E3" w:rsidP="00F72709">
            <w:pPr>
              <w:spacing w:after="0" w:line="240" w:lineRule="auto"/>
              <w:jc w:val="both"/>
            </w:pPr>
            <w:r>
              <w:t>4</w:t>
            </w:r>
          </w:p>
        </w:tc>
        <w:tc>
          <w:tcPr>
            <w:tcW w:w="2880" w:type="dxa"/>
          </w:tcPr>
          <w:p w14:paraId="6391EF02" w14:textId="49D49D3D" w:rsidR="003927E3" w:rsidRPr="00FC20E4" w:rsidRDefault="003927E3" w:rsidP="00F72709">
            <w:pPr>
              <w:spacing w:after="0" w:line="240" w:lineRule="auto"/>
              <w:jc w:val="both"/>
            </w:pPr>
            <w:r w:rsidRPr="003A6D99">
              <w:t>Corbin 2 South</w:t>
            </w:r>
          </w:p>
        </w:tc>
        <w:tc>
          <w:tcPr>
            <w:tcW w:w="1260" w:type="dxa"/>
          </w:tcPr>
          <w:p w14:paraId="708B1942" w14:textId="7CA0F829" w:rsidR="003927E3" w:rsidRPr="00FC20E4" w:rsidRDefault="003927E3" w:rsidP="00F72709">
            <w:pPr>
              <w:tabs>
                <w:tab w:val="decimal" w:pos="525"/>
              </w:tabs>
              <w:spacing w:after="0" w:line="240" w:lineRule="auto"/>
              <w:jc w:val="both"/>
            </w:pPr>
            <w:r w:rsidRPr="003A6D99">
              <w:t>69kV</w:t>
            </w:r>
          </w:p>
        </w:tc>
      </w:tr>
      <w:tr w:rsidR="003927E3" w:rsidRPr="00FC20E4" w14:paraId="331E59DF" w14:textId="77777777" w:rsidTr="00B56AAB">
        <w:trPr>
          <w:jc w:val="center"/>
        </w:trPr>
        <w:tc>
          <w:tcPr>
            <w:tcW w:w="810" w:type="dxa"/>
          </w:tcPr>
          <w:p w14:paraId="0BBA848D" w14:textId="647CAF8E" w:rsidR="003927E3" w:rsidRPr="00FC20E4" w:rsidRDefault="003927E3" w:rsidP="00F72709">
            <w:pPr>
              <w:spacing w:after="0" w:line="240" w:lineRule="auto"/>
              <w:jc w:val="both"/>
            </w:pPr>
            <w:r>
              <w:t>5</w:t>
            </w:r>
          </w:p>
        </w:tc>
        <w:tc>
          <w:tcPr>
            <w:tcW w:w="2880" w:type="dxa"/>
          </w:tcPr>
          <w:p w14:paraId="0D7BC914" w14:textId="465D3647" w:rsidR="003927E3" w:rsidRPr="00FC20E4" w:rsidRDefault="003927E3" w:rsidP="00F72709">
            <w:pPr>
              <w:spacing w:after="0" w:line="240" w:lineRule="auto"/>
              <w:jc w:val="both"/>
            </w:pPr>
            <w:r w:rsidRPr="003A6D99">
              <w:t>Falmouth 4kV</w:t>
            </w:r>
          </w:p>
        </w:tc>
        <w:tc>
          <w:tcPr>
            <w:tcW w:w="1260" w:type="dxa"/>
          </w:tcPr>
          <w:p w14:paraId="60DDAC0D" w14:textId="00F82587" w:rsidR="003927E3" w:rsidRPr="00FC20E4" w:rsidRDefault="003927E3" w:rsidP="00F72709">
            <w:pPr>
              <w:tabs>
                <w:tab w:val="decimal" w:pos="525"/>
              </w:tabs>
              <w:spacing w:after="0" w:line="240" w:lineRule="auto"/>
              <w:jc w:val="both"/>
            </w:pPr>
            <w:r w:rsidRPr="003A6D99">
              <w:t>69kV</w:t>
            </w:r>
          </w:p>
        </w:tc>
      </w:tr>
      <w:tr w:rsidR="003927E3" w:rsidRPr="00FC20E4" w14:paraId="46A7A3CD" w14:textId="77777777" w:rsidTr="00B56AAB">
        <w:trPr>
          <w:jc w:val="center"/>
        </w:trPr>
        <w:tc>
          <w:tcPr>
            <w:tcW w:w="810" w:type="dxa"/>
          </w:tcPr>
          <w:p w14:paraId="15E71F91" w14:textId="015B736F" w:rsidR="003927E3" w:rsidRPr="00FC20E4" w:rsidRDefault="003927E3" w:rsidP="00F72709">
            <w:pPr>
              <w:spacing w:after="0" w:line="240" w:lineRule="auto"/>
              <w:jc w:val="both"/>
            </w:pPr>
            <w:r>
              <w:t>6</w:t>
            </w:r>
          </w:p>
        </w:tc>
        <w:tc>
          <w:tcPr>
            <w:tcW w:w="2880" w:type="dxa"/>
          </w:tcPr>
          <w:p w14:paraId="5EB2C2C2" w14:textId="57378DAD" w:rsidR="003927E3" w:rsidRPr="00FC20E4" w:rsidRDefault="003927E3" w:rsidP="00F72709">
            <w:pPr>
              <w:spacing w:after="0" w:line="240" w:lineRule="auto"/>
              <w:jc w:val="both"/>
            </w:pPr>
            <w:r w:rsidRPr="003A6D99">
              <w:t>Frankfort</w:t>
            </w:r>
            <w:r w:rsidR="008A52C5">
              <w:t xml:space="preserve"> Myrick</w:t>
            </w:r>
            <w:r w:rsidRPr="003A6D99">
              <w:t xml:space="preserve"> 1</w:t>
            </w:r>
          </w:p>
        </w:tc>
        <w:tc>
          <w:tcPr>
            <w:tcW w:w="1260" w:type="dxa"/>
          </w:tcPr>
          <w:p w14:paraId="0AE67874" w14:textId="693572A3" w:rsidR="003927E3" w:rsidRPr="00FC20E4" w:rsidRDefault="003927E3" w:rsidP="00F72709">
            <w:pPr>
              <w:tabs>
                <w:tab w:val="decimal" w:pos="525"/>
              </w:tabs>
              <w:spacing w:after="0" w:line="240" w:lineRule="auto"/>
              <w:jc w:val="both"/>
            </w:pPr>
            <w:r w:rsidRPr="003A6D99">
              <w:t>69kV</w:t>
            </w:r>
          </w:p>
        </w:tc>
      </w:tr>
      <w:tr w:rsidR="003927E3" w:rsidRPr="00FC20E4" w14:paraId="3485695A" w14:textId="77777777" w:rsidTr="00B56AAB">
        <w:trPr>
          <w:jc w:val="center"/>
        </w:trPr>
        <w:tc>
          <w:tcPr>
            <w:tcW w:w="810" w:type="dxa"/>
          </w:tcPr>
          <w:p w14:paraId="2843C904" w14:textId="6E65C288" w:rsidR="003927E3" w:rsidRPr="00FC20E4" w:rsidRDefault="003927E3" w:rsidP="00F72709">
            <w:pPr>
              <w:spacing w:after="0" w:line="240" w:lineRule="auto"/>
              <w:jc w:val="both"/>
            </w:pPr>
            <w:r>
              <w:t>7</w:t>
            </w:r>
          </w:p>
        </w:tc>
        <w:tc>
          <w:tcPr>
            <w:tcW w:w="2880" w:type="dxa"/>
          </w:tcPr>
          <w:p w14:paraId="4B835440" w14:textId="7D4D145C" w:rsidR="003927E3" w:rsidRPr="00FC20E4" w:rsidRDefault="003927E3" w:rsidP="00F72709">
            <w:pPr>
              <w:spacing w:after="0" w:line="240" w:lineRule="auto"/>
              <w:jc w:val="both"/>
            </w:pPr>
            <w:r w:rsidRPr="003A6D99">
              <w:t>Frankfort</w:t>
            </w:r>
            <w:r w:rsidR="008A52C5">
              <w:t xml:space="preserve"> Myrick</w:t>
            </w:r>
            <w:r w:rsidRPr="003A6D99">
              <w:t xml:space="preserve"> 2</w:t>
            </w:r>
          </w:p>
        </w:tc>
        <w:tc>
          <w:tcPr>
            <w:tcW w:w="1260" w:type="dxa"/>
          </w:tcPr>
          <w:p w14:paraId="08440521" w14:textId="1FE7E4E1" w:rsidR="003927E3" w:rsidRPr="00FC20E4" w:rsidRDefault="003927E3" w:rsidP="00F72709">
            <w:pPr>
              <w:tabs>
                <w:tab w:val="decimal" w:pos="525"/>
              </w:tabs>
              <w:spacing w:after="0" w:line="240" w:lineRule="auto"/>
              <w:jc w:val="both"/>
            </w:pPr>
            <w:r w:rsidRPr="003A6D99">
              <w:t>69kV</w:t>
            </w:r>
          </w:p>
        </w:tc>
      </w:tr>
      <w:tr w:rsidR="008A52C5" w:rsidRPr="00FC20E4" w14:paraId="23B083FA" w14:textId="77777777" w:rsidTr="00B56AAB">
        <w:trPr>
          <w:jc w:val="center"/>
        </w:trPr>
        <w:tc>
          <w:tcPr>
            <w:tcW w:w="810" w:type="dxa"/>
          </w:tcPr>
          <w:p w14:paraId="65AF851E" w14:textId="45C3D587" w:rsidR="008A52C5" w:rsidRDefault="008A52C5" w:rsidP="00F72709">
            <w:pPr>
              <w:spacing w:after="0" w:line="240" w:lineRule="auto"/>
              <w:jc w:val="both"/>
            </w:pPr>
            <w:r>
              <w:t>8</w:t>
            </w:r>
          </w:p>
        </w:tc>
        <w:tc>
          <w:tcPr>
            <w:tcW w:w="2880" w:type="dxa"/>
          </w:tcPr>
          <w:p w14:paraId="1992B01C" w14:textId="32996223" w:rsidR="008A52C5" w:rsidRPr="003A6D99" w:rsidRDefault="008A52C5" w:rsidP="00F72709">
            <w:pPr>
              <w:spacing w:after="0" w:line="240" w:lineRule="auto"/>
              <w:jc w:val="both"/>
            </w:pPr>
            <w:r>
              <w:t>Frankfort Myrick 3</w:t>
            </w:r>
          </w:p>
        </w:tc>
        <w:tc>
          <w:tcPr>
            <w:tcW w:w="1260" w:type="dxa"/>
          </w:tcPr>
          <w:p w14:paraId="2B7ADE57" w14:textId="438ED900" w:rsidR="008A52C5" w:rsidRPr="003A6D99" w:rsidRDefault="00D035D3" w:rsidP="00F72709">
            <w:pPr>
              <w:tabs>
                <w:tab w:val="decimal" w:pos="525"/>
              </w:tabs>
              <w:spacing w:after="0" w:line="240" w:lineRule="auto"/>
              <w:jc w:val="both"/>
            </w:pPr>
            <w:r>
              <w:t>69kV</w:t>
            </w:r>
          </w:p>
        </w:tc>
      </w:tr>
      <w:tr w:rsidR="003927E3" w:rsidRPr="00FC20E4" w14:paraId="5E666D17" w14:textId="77777777" w:rsidTr="00B56AAB">
        <w:trPr>
          <w:jc w:val="center"/>
        </w:trPr>
        <w:tc>
          <w:tcPr>
            <w:tcW w:w="810" w:type="dxa"/>
          </w:tcPr>
          <w:p w14:paraId="7D277B88" w14:textId="24341C07" w:rsidR="003927E3" w:rsidRPr="00FC20E4" w:rsidRDefault="008A52C5" w:rsidP="00F72709">
            <w:pPr>
              <w:spacing w:after="0" w:line="240" w:lineRule="auto"/>
              <w:jc w:val="both"/>
            </w:pPr>
            <w:r>
              <w:t>9</w:t>
            </w:r>
          </w:p>
        </w:tc>
        <w:tc>
          <w:tcPr>
            <w:tcW w:w="2880" w:type="dxa"/>
          </w:tcPr>
          <w:p w14:paraId="6EBB0870" w14:textId="1E444AE8" w:rsidR="003927E3" w:rsidRPr="00FC20E4" w:rsidRDefault="003927E3" w:rsidP="00F72709">
            <w:pPr>
              <w:spacing w:after="0" w:line="240" w:lineRule="auto"/>
              <w:jc w:val="both"/>
            </w:pPr>
            <w:r w:rsidRPr="003A6D99">
              <w:t>Madisonville GE</w:t>
            </w:r>
          </w:p>
        </w:tc>
        <w:tc>
          <w:tcPr>
            <w:tcW w:w="1260" w:type="dxa"/>
          </w:tcPr>
          <w:p w14:paraId="183FB098" w14:textId="3CFA5E7A" w:rsidR="003927E3" w:rsidRPr="00FC20E4" w:rsidRDefault="003927E3" w:rsidP="00F72709">
            <w:pPr>
              <w:tabs>
                <w:tab w:val="decimal" w:pos="525"/>
              </w:tabs>
              <w:spacing w:after="0" w:line="240" w:lineRule="auto"/>
              <w:jc w:val="both"/>
            </w:pPr>
            <w:r w:rsidRPr="003A6D99">
              <w:t>69kV</w:t>
            </w:r>
          </w:p>
        </w:tc>
      </w:tr>
      <w:tr w:rsidR="003927E3" w:rsidRPr="00FC20E4" w14:paraId="1A39F3D4" w14:textId="77777777" w:rsidTr="00B56AAB">
        <w:trPr>
          <w:jc w:val="center"/>
        </w:trPr>
        <w:tc>
          <w:tcPr>
            <w:tcW w:w="810" w:type="dxa"/>
          </w:tcPr>
          <w:p w14:paraId="1A73FC33" w14:textId="3F0C492E" w:rsidR="003927E3" w:rsidRPr="00FC20E4" w:rsidRDefault="008A52C5" w:rsidP="00F72709">
            <w:pPr>
              <w:spacing w:after="0" w:line="240" w:lineRule="auto"/>
              <w:jc w:val="both"/>
            </w:pPr>
            <w:r>
              <w:t>10</w:t>
            </w:r>
          </w:p>
        </w:tc>
        <w:tc>
          <w:tcPr>
            <w:tcW w:w="2880" w:type="dxa"/>
          </w:tcPr>
          <w:p w14:paraId="6E9EF921" w14:textId="6C075100" w:rsidR="003927E3" w:rsidRPr="00FC20E4" w:rsidRDefault="003927E3" w:rsidP="00F72709">
            <w:pPr>
              <w:spacing w:after="0" w:line="240" w:lineRule="auto"/>
              <w:jc w:val="both"/>
            </w:pPr>
            <w:r w:rsidRPr="003A6D99">
              <w:t>Madisonville West</w:t>
            </w:r>
          </w:p>
        </w:tc>
        <w:tc>
          <w:tcPr>
            <w:tcW w:w="1260" w:type="dxa"/>
          </w:tcPr>
          <w:p w14:paraId="63C86790" w14:textId="6FBB4F4E" w:rsidR="003927E3" w:rsidRPr="00FC20E4" w:rsidRDefault="003927E3" w:rsidP="00F72709">
            <w:pPr>
              <w:tabs>
                <w:tab w:val="decimal" w:pos="525"/>
              </w:tabs>
              <w:spacing w:after="0" w:line="240" w:lineRule="auto"/>
              <w:jc w:val="both"/>
            </w:pPr>
            <w:r w:rsidRPr="003A6D99">
              <w:t>69kV</w:t>
            </w:r>
          </w:p>
        </w:tc>
      </w:tr>
      <w:tr w:rsidR="003927E3" w:rsidRPr="00FC20E4" w14:paraId="67F8C7E6" w14:textId="77777777" w:rsidTr="00B56AAB">
        <w:trPr>
          <w:jc w:val="center"/>
        </w:trPr>
        <w:tc>
          <w:tcPr>
            <w:tcW w:w="810" w:type="dxa"/>
          </w:tcPr>
          <w:p w14:paraId="3C4BD0CD" w14:textId="667447C4" w:rsidR="003927E3" w:rsidRPr="00FC20E4" w:rsidRDefault="003927E3" w:rsidP="00F72709">
            <w:pPr>
              <w:spacing w:after="0" w:line="240" w:lineRule="auto"/>
              <w:jc w:val="both"/>
            </w:pPr>
            <w:r>
              <w:t>1</w:t>
            </w:r>
            <w:r w:rsidR="008A52C5">
              <w:t>1</w:t>
            </w:r>
          </w:p>
        </w:tc>
        <w:tc>
          <w:tcPr>
            <w:tcW w:w="2880" w:type="dxa"/>
          </w:tcPr>
          <w:p w14:paraId="43961892" w14:textId="7FDE4929" w:rsidR="003927E3" w:rsidRPr="00FC20E4" w:rsidRDefault="003927E3" w:rsidP="00F72709">
            <w:pPr>
              <w:spacing w:after="0" w:line="240" w:lineRule="auto"/>
              <w:jc w:val="both"/>
            </w:pPr>
            <w:r w:rsidRPr="003A6D99">
              <w:t>Madisonville East</w:t>
            </w:r>
          </w:p>
        </w:tc>
        <w:tc>
          <w:tcPr>
            <w:tcW w:w="1260" w:type="dxa"/>
          </w:tcPr>
          <w:p w14:paraId="7039798B" w14:textId="0DA9A468" w:rsidR="003927E3" w:rsidRPr="00FC20E4" w:rsidRDefault="003927E3" w:rsidP="00F72709">
            <w:pPr>
              <w:tabs>
                <w:tab w:val="decimal" w:pos="525"/>
              </w:tabs>
              <w:spacing w:after="0" w:line="240" w:lineRule="auto"/>
              <w:jc w:val="both"/>
            </w:pPr>
            <w:r w:rsidRPr="003A6D99">
              <w:t>69kV</w:t>
            </w:r>
          </w:p>
        </w:tc>
      </w:tr>
      <w:tr w:rsidR="003927E3" w:rsidRPr="00FC20E4" w14:paraId="57B01E2E" w14:textId="77777777" w:rsidTr="00B56AAB">
        <w:trPr>
          <w:jc w:val="center"/>
        </w:trPr>
        <w:tc>
          <w:tcPr>
            <w:tcW w:w="810" w:type="dxa"/>
          </w:tcPr>
          <w:p w14:paraId="4E19ACE1" w14:textId="052F5685" w:rsidR="003927E3" w:rsidRPr="00FC20E4" w:rsidRDefault="003927E3" w:rsidP="00F72709">
            <w:pPr>
              <w:spacing w:after="0" w:line="240" w:lineRule="auto"/>
              <w:jc w:val="both"/>
            </w:pPr>
            <w:r>
              <w:t>1</w:t>
            </w:r>
            <w:r w:rsidR="008A52C5">
              <w:t>2</w:t>
            </w:r>
          </w:p>
        </w:tc>
        <w:tc>
          <w:tcPr>
            <w:tcW w:w="2880" w:type="dxa"/>
          </w:tcPr>
          <w:p w14:paraId="4A0A03E9" w14:textId="4014DCA8" w:rsidR="003927E3" w:rsidRPr="00FC20E4" w:rsidRDefault="003927E3" w:rsidP="00F72709">
            <w:pPr>
              <w:spacing w:after="0" w:line="240" w:lineRule="auto"/>
              <w:jc w:val="both"/>
            </w:pPr>
            <w:r w:rsidRPr="003A6D99">
              <w:t>Madisonville Hospital</w:t>
            </w:r>
          </w:p>
        </w:tc>
        <w:tc>
          <w:tcPr>
            <w:tcW w:w="1260" w:type="dxa"/>
          </w:tcPr>
          <w:p w14:paraId="7D44E91E" w14:textId="7B61FFAE" w:rsidR="003927E3" w:rsidRPr="00FC20E4" w:rsidRDefault="003927E3" w:rsidP="00F72709">
            <w:pPr>
              <w:tabs>
                <w:tab w:val="decimal" w:pos="525"/>
              </w:tabs>
              <w:spacing w:after="0" w:line="240" w:lineRule="auto"/>
              <w:jc w:val="both"/>
            </w:pPr>
            <w:r w:rsidRPr="003A6D99">
              <w:t>69kV</w:t>
            </w:r>
          </w:p>
        </w:tc>
      </w:tr>
      <w:tr w:rsidR="003927E3" w:rsidRPr="00FC20E4" w14:paraId="67EB0639" w14:textId="77777777" w:rsidTr="00B56AAB">
        <w:trPr>
          <w:jc w:val="center"/>
        </w:trPr>
        <w:tc>
          <w:tcPr>
            <w:tcW w:w="810" w:type="dxa"/>
          </w:tcPr>
          <w:p w14:paraId="6E8205B9" w14:textId="7BA5AB26" w:rsidR="003927E3" w:rsidRPr="00FC20E4" w:rsidRDefault="003927E3" w:rsidP="00F72709">
            <w:pPr>
              <w:spacing w:after="0" w:line="240" w:lineRule="auto"/>
              <w:jc w:val="both"/>
            </w:pPr>
            <w:r>
              <w:t>1</w:t>
            </w:r>
            <w:r w:rsidR="008A52C5">
              <w:t>3</w:t>
            </w:r>
          </w:p>
        </w:tc>
        <w:tc>
          <w:tcPr>
            <w:tcW w:w="2880" w:type="dxa"/>
          </w:tcPr>
          <w:p w14:paraId="0D228372" w14:textId="799AB091" w:rsidR="003927E3" w:rsidRPr="00FC20E4" w:rsidRDefault="003927E3" w:rsidP="00F72709">
            <w:pPr>
              <w:spacing w:after="0" w:line="240" w:lineRule="auto"/>
              <w:jc w:val="both"/>
            </w:pPr>
            <w:r w:rsidRPr="003A6D99">
              <w:t>Madisonville North</w:t>
            </w:r>
          </w:p>
        </w:tc>
        <w:tc>
          <w:tcPr>
            <w:tcW w:w="1260" w:type="dxa"/>
          </w:tcPr>
          <w:p w14:paraId="00195BFF" w14:textId="3E749C58" w:rsidR="003927E3" w:rsidRPr="00FC20E4" w:rsidRDefault="003927E3" w:rsidP="00F72709">
            <w:pPr>
              <w:tabs>
                <w:tab w:val="decimal" w:pos="525"/>
              </w:tabs>
              <w:spacing w:after="0" w:line="240" w:lineRule="auto"/>
              <w:jc w:val="both"/>
            </w:pPr>
            <w:r w:rsidRPr="003A6D99">
              <w:t>69kV</w:t>
            </w:r>
          </w:p>
        </w:tc>
      </w:tr>
      <w:tr w:rsidR="003927E3" w:rsidRPr="00FC20E4" w14:paraId="5986DC0C" w14:textId="77777777" w:rsidTr="00B56AAB">
        <w:trPr>
          <w:jc w:val="center"/>
        </w:trPr>
        <w:tc>
          <w:tcPr>
            <w:tcW w:w="810" w:type="dxa"/>
          </w:tcPr>
          <w:p w14:paraId="3E5AA894" w14:textId="300931E3" w:rsidR="003927E3" w:rsidRPr="00FC20E4" w:rsidRDefault="003927E3" w:rsidP="00F72709">
            <w:pPr>
              <w:spacing w:after="0" w:line="240" w:lineRule="auto"/>
              <w:jc w:val="both"/>
            </w:pPr>
            <w:r>
              <w:t>1</w:t>
            </w:r>
            <w:r w:rsidR="008A52C5">
              <w:t>4</w:t>
            </w:r>
          </w:p>
        </w:tc>
        <w:tc>
          <w:tcPr>
            <w:tcW w:w="2880" w:type="dxa"/>
          </w:tcPr>
          <w:p w14:paraId="3701FE26" w14:textId="70D7E678" w:rsidR="003927E3" w:rsidRPr="00FC20E4" w:rsidRDefault="003927E3" w:rsidP="00F72709">
            <w:pPr>
              <w:spacing w:after="0" w:line="240" w:lineRule="auto"/>
              <w:jc w:val="both"/>
            </w:pPr>
            <w:r>
              <w:t xml:space="preserve">Madisonville </w:t>
            </w:r>
            <w:r w:rsidRPr="003A6D99">
              <w:t>McCoy Road</w:t>
            </w:r>
          </w:p>
        </w:tc>
        <w:tc>
          <w:tcPr>
            <w:tcW w:w="1260" w:type="dxa"/>
          </w:tcPr>
          <w:p w14:paraId="627FBD1D" w14:textId="531C759D" w:rsidR="003927E3" w:rsidRPr="00FC20E4" w:rsidRDefault="003927E3" w:rsidP="00F72709">
            <w:pPr>
              <w:tabs>
                <w:tab w:val="decimal" w:pos="525"/>
              </w:tabs>
              <w:spacing w:after="0" w:line="240" w:lineRule="auto"/>
              <w:jc w:val="both"/>
            </w:pPr>
            <w:r w:rsidRPr="003A6D99">
              <w:t>69kV</w:t>
            </w:r>
          </w:p>
        </w:tc>
      </w:tr>
      <w:tr w:rsidR="003927E3" w:rsidRPr="00FC20E4" w14:paraId="51589A65" w14:textId="77777777" w:rsidTr="00B56AAB">
        <w:trPr>
          <w:jc w:val="center"/>
        </w:trPr>
        <w:tc>
          <w:tcPr>
            <w:tcW w:w="810" w:type="dxa"/>
          </w:tcPr>
          <w:p w14:paraId="25B4A263" w14:textId="7D415A7B" w:rsidR="003927E3" w:rsidRPr="00FC20E4" w:rsidRDefault="003927E3" w:rsidP="00F72709">
            <w:pPr>
              <w:spacing w:after="0" w:line="240" w:lineRule="auto"/>
              <w:jc w:val="both"/>
            </w:pPr>
            <w:r>
              <w:t>1</w:t>
            </w:r>
            <w:r w:rsidR="008A52C5">
              <w:t>5</w:t>
            </w:r>
          </w:p>
        </w:tc>
        <w:tc>
          <w:tcPr>
            <w:tcW w:w="2880" w:type="dxa"/>
          </w:tcPr>
          <w:p w14:paraId="1DC66444" w14:textId="320AB3B3" w:rsidR="003927E3" w:rsidRPr="00FC20E4" w:rsidRDefault="003927E3" w:rsidP="00F72709">
            <w:pPr>
              <w:spacing w:after="0" w:line="240" w:lineRule="auto"/>
              <w:jc w:val="both"/>
            </w:pPr>
            <w:r w:rsidRPr="003A6D99">
              <w:t>Paris City 1 (Scott Street)</w:t>
            </w:r>
          </w:p>
        </w:tc>
        <w:tc>
          <w:tcPr>
            <w:tcW w:w="1260" w:type="dxa"/>
          </w:tcPr>
          <w:p w14:paraId="5F01564C" w14:textId="705D7201" w:rsidR="003927E3" w:rsidRPr="00FC20E4" w:rsidRDefault="003927E3" w:rsidP="00F72709">
            <w:pPr>
              <w:tabs>
                <w:tab w:val="decimal" w:pos="525"/>
              </w:tabs>
              <w:spacing w:after="0" w:line="240" w:lineRule="auto"/>
              <w:jc w:val="both"/>
            </w:pPr>
            <w:r w:rsidRPr="003A6D99">
              <w:t>69kV</w:t>
            </w:r>
          </w:p>
        </w:tc>
      </w:tr>
      <w:tr w:rsidR="003927E3" w:rsidRPr="00FC20E4" w14:paraId="4497CFFB" w14:textId="77777777" w:rsidTr="00B56AAB">
        <w:trPr>
          <w:jc w:val="center"/>
        </w:trPr>
        <w:tc>
          <w:tcPr>
            <w:tcW w:w="810" w:type="dxa"/>
          </w:tcPr>
          <w:p w14:paraId="4F27E709" w14:textId="5E8FAC1F" w:rsidR="003927E3" w:rsidRPr="00FC20E4" w:rsidRDefault="003927E3" w:rsidP="00F72709">
            <w:pPr>
              <w:spacing w:after="0" w:line="240" w:lineRule="auto"/>
              <w:jc w:val="both"/>
            </w:pPr>
            <w:r>
              <w:t>1</w:t>
            </w:r>
            <w:r w:rsidR="008A52C5">
              <w:t>6</w:t>
            </w:r>
          </w:p>
        </w:tc>
        <w:tc>
          <w:tcPr>
            <w:tcW w:w="2880" w:type="dxa"/>
          </w:tcPr>
          <w:p w14:paraId="48D73603" w14:textId="023B47B9" w:rsidR="003927E3" w:rsidRPr="00FC20E4" w:rsidRDefault="003927E3" w:rsidP="00F72709">
            <w:pPr>
              <w:spacing w:after="0" w:line="240" w:lineRule="auto"/>
              <w:jc w:val="both"/>
            </w:pPr>
            <w:r w:rsidRPr="003A6D99">
              <w:t>Paris City 2 (Claysville)</w:t>
            </w:r>
          </w:p>
        </w:tc>
        <w:tc>
          <w:tcPr>
            <w:tcW w:w="1260" w:type="dxa"/>
          </w:tcPr>
          <w:p w14:paraId="033FE098" w14:textId="25A02D3D" w:rsidR="003927E3" w:rsidRPr="00FC20E4" w:rsidRDefault="003927E3" w:rsidP="00F72709">
            <w:pPr>
              <w:tabs>
                <w:tab w:val="decimal" w:pos="525"/>
              </w:tabs>
              <w:spacing w:after="0" w:line="240" w:lineRule="auto"/>
              <w:jc w:val="both"/>
            </w:pPr>
            <w:r w:rsidRPr="003A6D99">
              <w:t>69kV</w:t>
            </w:r>
          </w:p>
        </w:tc>
      </w:tr>
      <w:tr w:rsidR="003927E3" w:rsidRPr="00FC20E4" w14:paraId="232426B0" w14:textId="77777777" w:rsidTr="00B56AAB">
        <w:trPr>
          <w:jc w:val="center"/>
        </w:trPr>
        <w:tc>
          <w:tcPr>
            <w:tcW w:w="810" w:type="dxa"/>
          </w:tcPr>
          <w:p w14:paraId="0F12A2D6" w14:textId="329C11BE" w:rsidR="003927E3" w:rsidRPr="00FC20E4" w:rsidRDefault="003927E3" w:rsidP="00F72709">
            <w:pPr>
              <w:spacing w:after="0" w:line="240" w:lineRule="auto"/>
              <w:jc w:val="both"/>
            </w:pPr>
            <w:r>
              <w:t>1</w:t>
            </w:r>
            <w:r w:rsidR="008A52C5">
              <w:t>7</w:t>
            </w:r>
          </w:p>
        </w:tc>
        <w:tc>
          <w:tcPr>
            <w:tcW w:w="2880" w:type="dxa"/>
          </w:tcPr>
          <w:p w14:paraId="58FD9D45" w14:textId="16CE84B5" w:rsidR="003927E3" w:rsidRPr="00FC20E4" w:rsidRDefault="003927E3" w:rsidP="00F72709">
            <w:pPr>
              <w:spacing w:after="0" w:line="240" w:lineRule="auto"/>
              <w:jc w:val="both"/>
            </w:pPr>
            <w:r w:rsidRPr="003A6D99">
              <w:t>Paris City 3 (Vine St)</w:t>
            </w:r>
          </w:p>
        </w:tc>
        <w:tc>
          <w:tcPr>
            <w:tcW w:w="1260" w:type="dxa"/>
          </w:tcPr>
          <w:p w14:paraId="14873C62" w14:textId="023C01DE" w:rsidR="003927E3" w:rsidRPr="00FC20E4" w:rsidRDefault="003927E3" w:rsidP="00F72709">
            <w:pPr>
              <w:tabs>
                <w:tab w:val="decimal" w:pos="525"/>
              </w:tabs>
              <w:spacing w:after="0" w:line="240" w:lineRule="auto"/>
              <w:jc w:val="both"/>
            </w:pPr>
            <w:r w:rsidRPr="003A6D99">
              <w:t>69kV</w:t>
            </w:r>
          </w:p>
        </w:tc>
      </w:tr>
      <w:tr w:rsidR="003927E3" w:rsidRPr="00FC20E4" w14:paraId="45F190B3" w14:textId="77777777" w:rsidTr="00B56AAB">
        <w:trPr>
          <w:jc w:val="center"/>
        </w:trPr>
        <w:tc>
          <w:tcPr>
            <w:tcW w:w="810" w:type="dxa"/>
          </w:tcPr>
          <w:p w14:paraId="3CECF26C" w14:textId="3C79553B" w:rsidR="003927E3" w:rsidRPr="00FC20E4" w:rsidRDefault="003927E3" w:rsidP="00F72709">
            <w:pPr>
              <w:spacing w:after="0" w:line="240" w:lineRule="auto"/>
              <w:jc w:val="both"/>
            </w:pPr>
            <w:r>
              <w:t>1</w:t>
            </w:r>
            <w:r w:rsidR="008A52C5">
              <w:t>8</w:t>
            </w:r>
          </w:p>
        </w:tc>
        <w:tc>
          <w:tcPr>
            <w:tcW w:w="2880" w:type="dxa"/>
          </w:tcPr>
          <w:p w14:paraId="691CF3D2" w14:textId="0FC105F7" w:rsidR="003927E3" w:rsidRPr="00FC20E4" w:rsidRDefault="003927E3" w:rsidP="00F72709">
            <w:pPr>
              <w:spacing w:after="0" w:line="240" w:lineRule="auto"/>
              <w:jc w:val="both"/>
            </w:pPr>
            <w:r w:rsidRPr="003A6D99">
              <w:t>Paris City 4 (Weaver Rd)</w:t>
            </w:r>
          </w:p>
        </w:tc>
        <w:tc>
          <w:tcPr>
            <w:tcW w:w="1260" w:type="dxa"/>
          </w:tcPr>
          <w:p w14:paraId="16C2B049" w14:textId="7B0E9E4F" w:rsidR="003927E3" w:rsidRPr="00FC20E4" w:rsidRDefault="003927E3" w:rsidP="00F72709">
            <w:pPr>
              <w:tabs>
                <w:tab w:val="decimal" w:pos="525"/>
              </w:tabs>
              <w:spacing w:after="0" w:line="240" w:lineRule="auto"/>
              <w:jc w:val="both"/>
            </w:pPr>
            <w:r w:rsidRPr="003A6D99">
              <w:t>69kV</w:t>
            </w:r>
          </w:p>
        </w:tc>
      </w:tr>
      <w:tr w:rsidR="003927E3" w:rsidRPr="00FC20E4" w14:paraId="6BCB5AF5" w14:textId="77777777" w:rsidTr="003927E3">
        <w:trPr>
          <w:jc w:val="center"/>
        </w:trPr>
        <w:tc>
          <w:tcPr>
            <w:tcW w:w="810" w:type="dxa"/>
          </w:tcPr>
          <w:p w14:paraId="08EDA8A9" w14:textId="21215D30" w:rsidR="003927E3" w:rsidRPr="00FC20E4" w:rsidRDefault="003927E3" w:rsidP="00F72709">
            <w:pPr>
              <w:spacing w:after="0" w:line="240" w:lineRule="auto"/>
              <w:jc w:val="both"/>
            </w:pPr>
            <w:r>
              <w:t>1</w:t>
            </w:r>
            <w:r w:rsidR="008A52C5">
              <w:t>9</w:t>
            </w:r>
          </w:p>
        </w:tc>
        <w:tc>
          <w:tcPr>
            <w:tcW w:w="2880" w:type="dxa"/>
          </w:tcPr>
          <w:p w14:paraId="265EF4C2" w14:textId="593E1E37" w:rsidR="003927E3" w:rsidRPr="00FC20E4" w:rsidRDefault="003927E3" w:rsidP="00F72709">
            <w:pPr>
              <w:spacing w:after="0" w:line="240" w:lineRule="auto"/>
              <w:jc w:val="both"/>
            </w:pPr>
            <w:r w:rsidRPr="003A6D99">
              <w:t>Providence 4kV</w:t>
            </w:r>
          </w:p>
        </w:tc>
        <w:tc>
          <w:tcPr>
            <w:tcW w:w="1260" w:type="dxa"/>
          </w:tcPr>
          <w:p w14:paraId="206C0A14" w14:textId="2B475A4C" w:rsidR="003927E3" w:rsidRPr="00FC20E4" w:rsidRDefault="003927E3" w:rsidP="00F72709">
            <w:pPr>
              <w:tabs>
                <w:tab w:val="decimal" w:pos="525"/>
              </w:tabs>
              <w:spacing w:after="0" w:line="240" w:lineRule="auto"/>
              <w:jc w:val="both"/>
            </w:pPr>
            <w:r w:rsidRPr="003A6D99">
              <w:t>69kV</w:t>
            </w:r>
          </w:p>
        </w:tc>
      </w:tr>
      <w:tr w:rsidR="003927E3" w:rsidRPr="00FC20E4" w14:paraId="1DB53417" w14:textId="77777777" w:rsidTr="003927E3">
        <w:trPr>
          <w:jc w:val="center"/>
        </w:trPr>
        <w:tc>
          <w:tcPr>
            <w:tcW w:w="810" w:type="dxa"/>
            <w:tcBorders>
              <w:bottom w:val="single" w:sz="4" w:space="0" w:color="auto"/>
            </w:tcBorders>
          </w:tcPr>
          <w:p w14:paraId="736D63F5" w14:textId="60AADCE9" w:rsidR="003927E3" w:rsidRPr="00FC20E4" w:rsidRDefault="008A52C5" w:rsidP="00F72709">
            <w:pPr>
              <w:spacing w:after="0" w:line="240" w:lineRule="auto"/>
              <w:jc w:val="both"/>
            </w:pPr>
            <w:r>
              <w:t>20</w:t>
            </w:r>
          </w:p>
        </w:tc>
        <w:tc>
          <w:tcPr>
            <w:tcW w:w="2880" w:type="dxa"/>
            <w:tcBorders>
              <w:bottom w:val="single" w:sz="4" w:space="0" w:color="auto"/>
            </w:tcBorders>
          </w:tcPr>
          <w:p w14:paraId="78FEE5BE" w14:textId="70D80D64" w:rsidR="003927E3" w:rsidRPr="00FC20E4" w:rsidRDefault="003927E3" w:rsidP="00F72709">
            <w:pPr>
              <w:spacing w:after="0" w:line="240" w:lineRule="auto"/>
              <w:jc w:val="both"/>
            </w:pPr>
            <w:r>
              <w:t>Providence East</w:t>
            </w:r>
          </w:p>
        </w:tc>
        <w:tc>
          <w:tcPr>
            <w:tcW w:w="1260" w:type="dxa"/>
            <w:tcBorders>
              <w:bottom w:val="single" w:sz="4" w:space="0" w:color="auto"/>
            </w:tcBorders>
          </w:tcPr>
          <w:p w14:paraId="46A0B10E" w14:textId="24819866" w:rsidR="003927E3" w:rsidRPr="00FC20E4" w:rsidRDefault="003927E3" w:rsidP="00F72709">
            <w:pPr>
              <w:tabs>
                <w:tab w:val="decimal" w:pos="525"/>
              </w:tabs>
              <w:spacing w:after="0" w:line="240" w:lineRule="auto"/>
              <w:jc w:val="both"/>
            </w:pPr>
            <w:r w:rsidRPr="003A6D99">
              <w:t>69kV</w:t>
            </w:r>
          </w:p>
        </w:tc>
      </w:tr>
    </w:tbl>
    <w:p w14:paraId="2F2C864E" w14:textId="51682399" w:rsidR="00B56AAB" w:rsidRDefault="00B56AAB" w:rsidP="00F72709">
      <w:pPr>
        <w:spacing w:after="0" w:line="240" w:lineRule="auto"/>
        <w:jc w:val="both"/>
      </w:pPr>
    </w:p>
    <w:p w14:paraId="6F985457" w14:textId="4EEB5B7C" w:rsidR="00F0317A" w:rsidRDefault="00F0317A" w:rsidP="00F72709">
      <w:pPr>
        <w:spacing w:after="0" w:line="240" w:lineRule="auto"/>
        <w:jc w:val="both"/>
      </w:pPr>
    </w:p>
    <w:p w14:paraId="17A37FB1" w14:textId="50C5E0EA" w:rsidR="006F474E" w:rsidRDefault="006F474E" w:rsidP="00F72709">
      <w:pPr>
        <w:widowControl w:val="0"/>
        <w:tabs>
          <w:tab w:val="left" w:pos="2263"/>
          <w:tab w:val="left" w:pos="2264"/>
        </w:tabs>
        <w:autoSpaceDE w:val="0"/>
        <w:autoSpaceDN w:val="0"/>
        <w:spacing w:after="0" w:line="240" w:lineRule="auto"/>
        <w:jc w:val="both"/>
        <w:rPr>
          <w:rFonts w:cstheme="minorHAnsi"/>
        </w:rPr>
      </w:pPr>
    </w:p>
    <w:sectPr w:rsidR="006F474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62EC" w14:textId="77777777" w:rsidR="00A6404D" w:rsidRDefault="00A6404D" w:rsidP="00D31304">
      <w:pPr>
        <w:spacing w:after="0" w:line="240" w:lineRule="auto"/>
      </w:pPr>
      <w:r>
        <w:separator/>
      </w:r>
    </w:p>
  </w:endnote>
  <w:endnote w:type="continuationSeparator" w:id="0">
    <w:p w14:paraId="737AEF66" w14:textId="77777777" w:rsidR="00A6404D" w:rsidRDefault="00A6404D" w:rsidP="00D31304">
      <w:pPr>
        <w:spacing w:after="0" w:line="240" w:lineRule="auto"/>
      </w:pPr>
      <w:r>
        <w:continuationSeparator/>
      </w:r>
    </w:p>
  </w:endnote>
  <w:endnote w:type="continuationNotice" w:id="1">
    <w:p w14:paraId="65966872" w14:textId="77777777" w:rsidR="00A6404D" w:rsidRDefault="00A64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3E99" w14:textId="77777777" w:rsidR="00EC7760" w:rsidRDefault="00EC7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BEAA" w14:textId="6450EE80" w:rsidR="00EC7760" w:rsidRDefault="003D2EC0" w:rsidP="00EC7760">
    <w:pPr>
      <w:pStyle w:val="Footer"/>
      <w:tabs>
        <w:tab w:val="clear" w:pos="4680"/>
        <w:tab w:val="right" w:pos="0"/>
        <w:tab w:val="left" w:pos="7020"/>
        <w:tab w:val="left" w:pos="8100"/>
      </w:tabs>
      <w:jc w:val="right"/>
    </w:pPr>
    <w:r>
      <w:t xml:space="preserve">Approved:  </w:t>
    </w:r>
    <w:r w:rsidR="00EC7760">
      <w:t>March 25, 2021</w:t>
    </w:r>
  </w:p>
  <w:p w14:paraId="11D5A131" w14:textId="0FDA8C81" w:rsidR="003D2EC0" w:rsidRDefault="003D2EC0" w:rsidP="00EC7760">
    <w:pPr>
      <w:pStyle w:val="Footer"/>
      <w:tabs>
        <w:tab w:val="clear" w:pos="4680"/>
        <w:tab w:val="right" w:pos="0"/>
        <w:tab w:val="left" w:pos="7020"/>
        <w:tab w:val="left" w:pos="8100"/>
      </w:tabs>
      <w:jc w:val="right"/>
    </w:pPr>
    <w:r>
      <w:t xml:space="preserve">Effective:  </w:t>
    </w:r>
    <w:r w:rsidR="00D9437F">
      <w:t>Jul</w:t>
    </w:r>
    <w:r w:rsidR="00574925">
      <w:t>y</w:t>
    </w:r>
    <w:r w:rsidRPr="00DF321B">
      <w:t xml:space="preserve"> 1, 20</w:t>
    </w:r>
    <w:r w:rsidR="00574925">
      <w:t>2</w:t>
    </w:r>
    <w:r w:rsidR="00A45BCA">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8C21" w14:textId="77777777" w:rsidR="00EC7760" w:rsidRDefault="00EC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7829" w14:textId="77777777" w:rsidR="00A6404D" w:rsidRDefault="00A6404D" w:rsidP="00D31304">
      <w:pPr>
        <w:spacing w:after="0" w:line="240" w:lineRule="auto"/>
      </w:pPr>
      <w:r>
        <w:separator/>
      </w:r>
    </w:p>
  </w:footnote>
  <w:footnote w:type="continuationSeparator" w:id="0">
    <w:p w14:paraId="6C748C77" w14:textId="77777777" w:rsidR="00A6404D" w:rsidRDefault="00A6404D" w:rsidP="00D31304">
      <w:pPr>
        <w:spacing w:after="0" w:line="240" w:lineRule="auto"/>
      </w:pPr>
      <w:r>
        <w:continuationSeparator/>
      </w:r>
    </w:p>
  </w:footnote>
  <w:footnote w:type="continuationNotice" w:id="1">
    <w:p w14:paraId="2B9C9163" w14:textId="77777777" w:rsidR="00A6404D" w:rsidRDefault="00A64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57528" w14:textId="02BD97FB" w:rsidR="003D2EC0" w:rsidRDefault="00F72709">
    <w:pPr>
      <w:pStyle w:val="Header"/>
    </w:pPr>
    <w:r>
      <w:rPr>
        <w:noProof/>
      </w:rPr>
      <mc:AlternateContent>
        <mc:Choice Requires="wps">
          <w:drawing>
            <wp:anchor distT="0" distB="0" distL="114300" distR="114300" simplePos="0" relativeHeight="251657216" behindDoc="1" locked="0" layoutInCell="0" allowOverlap="1" wp14:anchorId="0E5004D9" wp14:editId="3114B702">
              <wp:simplePos x="0" y="0"/>
              <wp:positionH relativeFrom="margin">
                <wp:align>center</wp:align>
              </wp:positionH>
              <wp:positionV relativeFrom="margin">
                <wp:align>center</wp:align>
              </wp:positionV>
              <wp:extent cx="7237095" cy="1142365"/>
              <wp:effectExtent l="0" t="2286000" r="0" b="213423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37095" cy="114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5ED4A9" w14:textId="77777777" w:rsidR="00F72709" w:rsidRDefault="00F72709" w:rsidP="00F72709">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DRAFT AR RATE SCHEDULE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5004D9" id="_x0000_t202" coordsize="21600,21600" o:spt="202" path="m,l,21600r21600,l21600,xe">
              <v:stroke joinstyle="miter"/>
              <v:path gradientshapeok="t" o:connecttype="rect"/>
            </v:shapetype>
            <v:shape id="WordArt 2" o:spid="_x0000_s1026" type="#_x0000_t202" style="position:absolute;margin-left:0;margin-top:0;width:569.85pt;height:8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" o:allowincell="f" filled="f" stroked="f">
              <v:stroke joinstyle="round"/>
              <o:lock v:ext="edit" shapetype="t"/>
              <v:textbox style="mso-fit-shape-to-text:t">
                <w:txbxContent>
                  <w:p w14:paraId="465ED4A9" w14:textId="77777777" w:rsidR="00F72709" w:rsidRDefault="00F72709" w:rsidP="00F72709">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DRAFT AR RATE SCHEDULE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40AE" w14:textId="551DEE57" w:rsidR="003D2EC0" w:rsidRPr="001D5052" w:rsidRDefault="00A6404D">
    <w:pPr>
      <w:pStyle w:val="Header"/>
      <w:rPr>
        <w:b/>
      </w:rPr>
    </w:pPr>
    <w:sdt>
      <w:sdtPr>
        <w:rPr>
          <w:b/>
          <w:u w:val="single"/>
        </w:rPr>
        <w:id w:val="281149001"/>
        <w:docPartObj>
          <w:docPartGallery w:val="Watermarks"/>
          <w:docPartUnique/>
        </w:docPartObj>
      </w:sdtPr>
      <w:sdtEndPr/>
      <w:sdtContent>
        <w:r>
          <w:rPr>
            <w:b/>
            <w:noProof/>
            <w:u w:val="single"/>
          </w:rPr>
          <w:pict w14:anchorId="738506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4CB2" w:rsidRPr="00424CB2">
      <w:rPr>
        <w:b/>
        <w:u w:val="single"/>
      </w:rPr>
      <w:t>Exhibit A</w:t>
    </w:r>
    <w:r w:rsidR="00DF321B">
      <w:tab/>
    </w:r>
    <w:r w:rsidR="003D2EC0">
      <w:tab/>
    </w:r>
    <w:r w:rsidR="003D2EC0" w:rsidRPr="001D5052">
      <w:rPr>
        <w:b/>
      </w:rPr>
      <w:t>AR Rate Schedule</w:t>
    </w:r>
  </w:p>
  <w:p w14:paraId="0AF93BB7" w14:textId="3FF53DDB" w:rsidR="003D2EC0" w:rsidRPr="001D5052" w:rsidRDefault="003D2EC0">
    <w:pPr>
      <w:pStyle w:val="Header"/>
      <w:rPr>
        <w:b/>
        <w:bCs/>
      </w:rPr>
    </w:pPr>
    <w:r>
      <w:rPr>
        <w:i/>
        <w:color w:val="C00000"/>
      </w:rPr>
      <w:tab/>
    </w:r>
    <w:r w:rsidRPr="001D5052">
      <w:rPr>
        <w:b/>
      </w:rPr>
      <w:tab/>
      <w:t xml:space="preserve">Page </w:t>
    </w:r>
    <w:r w:rsidRPr="001D5052">
      <w:rPr>
        <w:b/>
        <w:bCs/>
      </w:rPr>
      <w:fldChar w:fldCharType="begin"/>
    </w:r>
    <w:r w:rsidRPr="001D5052">
      <w:rPr>
        <w:b/>
        <w:bCs/>
      </w:rPr>
      <w:instrText xml:space="preserve"> PAGE  \* Arabic  \* MERGEFORMAT </w:instrText>
    </w:r>
    <w:r w:rsidRPr="001D5052">
      <w:rPr>
        <w:b/>
        <w:bCs/>
      </w:rPr>
      <w:fldChar w:fldCharType="separate"/>
    </w:r>
    <w:r w:rsidR="00424CB2">
      <w:rPr>
        <w:b/>
        <w:bCs/>
        <w:noProof/>
      </w:rPr>
      <w:t>1</w:t>
    </w:r>
    <w:r w:rsidRPr="001D5052">
      <w:rPr>
        <w:b/>
        <w:bCs/>
      </w:rPr>
      <w:fldChar w:fldCharType="end"/>
    </w:r>
    <w:r w:rsidRPr="001D5052">
      <w:rPr>
        <w:b/>
      </w:rPr>
      <w:t xml:space="preserve"> of </w:t>
    </w:r>
    <w:r w:rsidRPr="001D5052">
      <w:rPr>
        <w:b/>
        <w:bCs/>
      </w:rPr>
      <w:fldChar w:fldCharType="begin"/>
    </w:r>
    <w:r w:rsidRPr="001D5052">
      <w:rPr>
        <w:b/>
        <w:bCs/>
      </w:rPr>
      <w:instrText xml:space="preserve"> NUMPAGES  \* Arabic  \* MERGEFORMAT </w:instrText>
    </w:r>
    <w:r w:rsidRPr="001D5052">
      <w:rPr>
        <w:b/>
        <w:bCs/>
      </w:rPr>
      <w:fldChar w:fldCharType="separate"/>
    </w:r>
    <w:r w:rsidR="00424CB2">
      <w:rPr>
        <w:b/>
        <w:bCs/>
        <w:noProof/>
      </w:rPr>
      <w:t>6</w:t>
    </w:r>
    <w:r w:rsidRPr="001D5052">
      <w:rPr>
        <w:b/>
        <w:bCs/>
      </w:rPr>
      <w:fldChar w:fldCharType="end"/>
    </w:r>
  </w:p>
  <w:p w14:paraId="0C6F7049" w14:textId="77777777" w:rsidR="003D2EC0" w:rsidRDefault="003D2EC0" w:rsidP="00097820">
    <w:pPr>
      <w:spacing w:after="0" w:line="240" w:lineRule="auto"/>
      <w:jc w:val="center"/>
      <w:rPr>
        <w:b/>
        <w:sz w:val="24"/>
      </w:rPr>
    </w:pPr>
  </w:p>
  <w:p w14:paraId="11B4066B" w14:textId="1A460D0D" w:rsidR="003D2EC0" w:rsidRPr="00D31304" w:rsidRDefault="003D2EC0" w:rsidP="00097820">
    <w:pPr>
      <w:spacing w:after="0" w:line="240" w:lineRule="auto"/>
      <w:jc w:val="center"/>
      <w:rPr>
        <w:b/>
        <w:sz w:val="24"/>
      </w:rPr>
    </w:pPr>
    <w:r w:rsidRPr="00D31304">
      <w:rPr>
        <w:b/>
        <w:sz w:val="24"/>
      </w:rPr>
      <w:t>KENTUCKY MUNICIPAL ENERGY AGENCY</w:t>
    </w:r>
  </w:p>
  <w:p w14:paraId="4266EAA6" w14:textId="77777777" w:rsidR="003D2EC0" w:rsidRPr="00D31304" w:rsidRDefault="003D2EC0" w:rsidP="00097820">
    <w:pPr>
      <w:spacing w:after="0" w:line="240" w:lineRule="auto"/>
      <w:jc w:val="center"/>
      <w:rPr>
        <w:b/>
        <w:sz w:val="24"/>
      </w:rPr>
    </w:pPr>
    <w:r w:rsidRPr="00D31304">
      <w:rPr>
        <w:b/>
        <w:sz w:val="24"/>
      </w:rPr>
      <w:t>ALL REQUIREMENTS PROJECT -- WHOLESALE POWER RATE SCHEDULE</w:t>
    </w:r>
  </w:p>
  <w:p w14:paraId="5DCDC67E" w14:textId="6A2420A3" w:rsidR="003D2EC0" w:rsidRDefault="003D2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DD47" w14:textId="0FC77FF8" w:rsidR="003D2EC0" w:rsidRDefault="003D2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4958" w14:textId="12347E80" w:rsidR="003D2EC0" w:rsidRPr="00DF321B" w:rsidRDefault="002171E2" w:rsidP="00DF321B">
    <w:pPr>
      <w:pStyle w:val="Header"/>
      <w:jc w:val="center"/>
      <w:rPr>
        <w:b/>
        <w:u w:val="single"/>
      </w:rPr>
    </w:pPr>
    <w:r w:rsidRPr="00DF321B">
      <w:rPr>
        <w:b/>
        <w:u w:val="single"/>
      </w:rPr>
      <w:t xml:space="preserve">Schedule A to </w:t>
    </w:r>
    <w:r w:rsidR="003D2EC0" w:rsidRPr="00DF321B">
      <w:rPr>
        <w:b/>
        <w:u w:val="single"/>
      </w:rPr>
      <w:t>AR Rate</w:t>
    </w:r>
    <w:r w:rsidR="00DF321B" w:rsidRPr="00DF321B">
      <w:rPr>
        <w:b/>
        <w:u w:val="single"/>
      </w:rPr>
      <w:t xml:space="preserve"> </w:t>
    </w:r>
    <w:r w:rsidR="003D2EC0" w:rsidRPr="00DF321B">
      <w:rPr>
        <w:b/>
        <w:u w:val="single"/>
      </w:rPr>
      <w:t>Schedule</w:t>
    </w:r>
  </w:p>
  <w:p w14:paraId="71478643" w14:textId="77777777" w:rsidR="003D2EC0" w:rsidRDefault="003D2EC0" w:rsidP="00097820">
    <w:pPr>
      <w:spacing w:after="0" w:line="240" w:lineRule="auto"/>
      <w:jc w:val="center"/>
      <w:rPr>
        <w:b/>
        <w:sz w:val="24"/>
      </w:rPr>
    </w:pPr>
  </w:p>
  <w:p w14:paraId="5FF6BB9D" w14:textId="77777777" w:rsidR="003D2EC0" w:rsidRPr="00D31304" w:rsidRDefault="003D2EC0" w:rsidP="00097820">
    <w:pPr>
      <w:spacing w:after="0" w:line="240" w:lineRule="auto"/>
      <w:jc w:val="center"/>
      <w:rPr>
        <w:b/>
        <w:sz w:val="24"/>
      </w:rPr>
    </w:pPr>
    <w:r w:rsidRPr="00D31304">
      <w:rPr>
        <w:b/>
        <w:sz w:val="24"/>
      </w:rPr>
      <w:t>KENTUCKY MUNICIPAL ENERGY AGENCY</w:t>
    </w:r>
  </w:p>
  <w:p w14:paraId="178858DE" w14:textId="4DF60B72" w:rsidR="003D2EC0" w:rsidRPr="00D31304" w:rsidRDefault="003D2EC0" w:rsidP="00097820">
    <w:pPr>
      <w:spacing w:after="0" w:line="240" w:lineRule="auto"/>
      <w:jc w:val="center"/>
      <w:rPr>
        <w:b/>
        <w:sz w:val="24"/>
      </w:rPr>
    </w:pPr>
    <w:r w:rsidRPr="00D31304">
      <w:rPr>
        <w:b/>
        <w:sz w:val="24"/>
      </w:rPr>
      <w:t>ALL REQUIREMENTS PROJECT -- WHOLESALE POWER RATE SCHEDULE</w:t>
    </w:r>
  </w:p>
  <w:p w14:paraId="64C60687" w14:textId="77777777" w:rsidR="003D2EC0" w:rsidRDefault="003D2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A88"/>
    <w:multiLevelType w:val="hybridMultilevel"/>
    <w:tmpl w:val="85AC9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03F62C07"/>
    <w:multiLevelType w:val="hybridMultilevel"/>
    <w:tmpl w:val="A8AE8A4A"/>
    <w:lvl w:ilvl="0" w:tplc="1C2899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7C4538"/>
    <w:multiLevelType w:val="hybridMultilevel"/>
    <w:tmpl w:val="C020FCE4"/>
    <w:lvl w:ilvl="0" w:tplc="A7529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8493D"/>
    <w:multiLevelType w:val="hybridMultilevel"/>
    <w:tmpl w:val="DECCB5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EDF13EC"/>
    <w:multiLevelType w:val="hybridMultilevel"/>
    <w:tmpl w:val="12C80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51DD63B9"/>
    <w:multiLevelType w:val="hybridMultilevel"/>
    <w:tmpl w:val="E424F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A7B5B"/>
    <w:multiLevelType w:val="hybridMultilevel"/>
    <w:tmpl w:val="E15ADA24"/>
    <w:lvl w:ilvl="0" w:tplc="EBF23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A18A9"/>
    <w:multiLevelType w:val="hybridMultilevel"/>
    <w:tmpl w:val="8A28B518"/>
    <w:lvl w:ilvl="0" w:tplc="D1E28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420A7E"/>
    <w:multiLevelType w:val="hybridMultilevel"/>
    <w:tmpl w:val="655CF9F8"/>
    <w:lvl w:ilvl="0" w:tplc="59A22C38">
      <w:start w:val="1"/>
      <w:numFmt w:val="decimal"/>
      <w:lvlText w:val="%1."/>
      <w:lvlJc w:val="left"/>
      <w:pPr>
        <w:ind w:left="823" w:hanging="720"/>
      </w:pPr>
      <w:rPr>
        <w:rFonts w:ascii="Times New Roman" w:eastAsia="Times New Roman" w:hAnsi="Times New Roman" w:cs="Times New Roman" w:hint="default"/>
        <w:b/>
        <w:bCs/>
        <w:w w:val="100"/>
        <w:sz w:val="20"/>
        <w:szCs w:val="20"/>
      </w:rPr>
    </w:lvl>
    <w:lvl w:ilvl="1" w:tplc="AA6208B4">
      <w:start w:val="1"/>
      <w:numFmt w:val="upperLetter"/>
      <w:lvlText w:val="%2."/>
      <w:lvlJc w:val="left"/>
      <w:pPr>
        <w:ind w:left="1543" w:hanging="720"/>
      </w:pPr>
      <w:rPr>
        <w:rFonts w:ascii="Times New Roman" w:eastAsia="Times New Roman" w:hAnsi="Times New Roman" w:cs="Times New Roman" w:hint="default"/>
        <w:w w:val="100"/>
        <w:sz w:val="20"/>
        <w:szCs w:val="20"/>
      </w:rPr>
    </w:lvl>
    <w:lvl w:ilvl="2" w:tplc="42E48EFE">
      <w:start w:val="1"/>
      <w:numFmt w:val="decimal"/>
      <w:lvlText w:val="%3."/>
      <w:lvlJc w:val="left"/>
      <w:pPr>
        <w:ind w:left="2263" w:hanging="720"/>
        <w:jc w:val="right"/>
      </w:pPr>
      <w:rPr>
        <w:rFonts w:ascii="Times New Roman" w:eastAsia="Times New Roman" w:hAnsi="Times New Roman" w:cs="Times New Roman" w:hint="default"/>
        <w:w w:val="100"/>
        <w:sz w:val="20"/>
        <w:szCs w:val="20"/>
      </w:rPr>
    </w:lvl>
    <w:lvl w:ilvl="3" w:tplc="359270F6">
      <w:start w:val="1"/>
      <w:numFmt w:val="decimal"/>
      <w:lvlText w:val="%4."/>
      <w:lvlJc w:val="left"/>
      <w:pPr>
        <w:ind w:left="2984" w:hanging="180"/>
      </w:pPr>
      <w:rPr>
        <w:rFonts w:ascii="Times New Roman" w:eastAsia="Times New Roman" w:hAnsi="Times New Roman" w:cs="Times New Roman" w:hint="default"/>
        <w:w w:val="100"/>
        <w:sz w:val="20"/>
        <w:szCs w:val="20"/>
      </w:rPr>
    </w:lvl>
    <w:lvl w:ilvl="4" w:tplc="FC4ED9C6">
      <w:numFmt w:val="bullet"/>
      <w:lvlText w:val="•"/>
      <w:lvlJc w:val="left"/>
      <w:pPr>
        <w:ind w:left="3968" w:hanging="180"/>
      </w:pPr>
      <w:rPr>
        <w:rFonts w:hint="default"/>
      </w:rPr>
    </w:lvl>
    <w:lvl w:ilvl="5" w:tplc="40E888BE">
      <w:numFmt w:val="bullet"/>
      <w:lvlText w:val="•"/>
      <w:lvlJc w:val="left"/>
      <w:pPr>
        <w:ind w:left="4957" w:hanging="180"/>
      </w:pPr>
      <w:rPr>
        <w:rFonts w:hint="default"/>
      </w:rPr>
    </w:lvl>
    <w:lvl w:ilvl="6" w:tplc="75DE485A">
      <w:numFmt w:val="bullet"/>
      <w:lvlText w:val="•"/>
      <w:lvlJc w:val="left"/>
      <w:pPr>
        <w:ind w:left="5945" w:hanging="180"/>
      </w:pPr>
      <w:rPr>
        <w:rFonts w:hint="default"/>
      </w:rPr>
    </w:lvl>
    <w:lvl w:ilvl="7" w:tplc="0A522E24">
      <w:numFmt w:val="bullet"/>
      <w:lvlText w:val="•"/>
      <w:lvlJc w:val="left"/>
      <w:pPr>
        <w:ind w:left="6934" w:hanging="180"/>
      </w:pPr>
      <w:rPr>
        <w:rFonts w:hint="default"/>
      </w:rPr>
    </w:lvl>
    <w:lvl w:ilvl="8" w:tplc="89643004">
      <w:numFmt w:val="bullet"/>
      <w:lvlText w:val="•"/>
      <w:lvlJc w:val="left"/>
      <w:pPr>
        <w:ind w:left="7922" w:hanging="180"/>
      </w:pPr>
      <w:rPr>
        <w:rFonts w:hint="default"/>
      </w:rPr>
    </w:lvl>
  </w:abstractNum>
  <w:num w:numId="1">
    <w:abstractNumId w:val="5"/>
  </w:num>
  <w:num w:numId="2">
    <w:abstractNumId w:val="2"/>
  </w:num>
  <w:num w:numId="3">
    <w:abstractNumId w:val="6"/>
  </w:num>
  <w:num w:numId="4">
    <w:abstractNumId w:val="7"/>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jayMDExMjW0MDRS0lEKTi0uzszPAykwrgUA5mDZlCwAAAA="/>
  </w:docVars>
  <w:rsids>
    <w:rsidRoot w:val="00910906"/>
    <w:rsid w:val="00005080"/>
    <w:rsid w:val="0001267D"/>
    <w:rsid w:val="00021167"/>
    <w:rsid w:val="0002605F"/>
    <w:rsid w:val="000318EB"/>
    <w:rsid w:val="000371DB"/>
    <w:rsid w:val="00040B79"/>
    <w:rsid w:val="000474D5"/>
    <w:rsid w:val="00053B44"/>
    <w:rsid w:val="00054BB1"/>
    <w:rsid w:val="00061D22"/>
    <w:rsid w:val="00062895"/>
    <w:rsid w:val="000706B7"/>
    <w:rsid w:val="00076CE5"/>
    <w:rsid w:val="000853B7"/>
    <w:rsid w:val="00085F54"/>
    <w:rsid w:val="000906BD"/>
    <w:rsid w:val="00090E0B"/>
    <w:rsid w:val="0009174A"/>
    <w:rsid w:val="00092E40"/>
    <w:rsid w:val="000938A4"/>
    <w:rsid w:val="00097820"/>
    <w:rsid w:val="000A415A"/>
    <w:rsid w:val="000A59B2"/>
    <w:rsid w:val="000B09B4"/>
    <w:rsid w:val="000B1E9E"/>
    <w:rsid w:val="000B49B0"/>
    <w:rsid w:val="000B649D"/>
    <w:rsid w:val="000C1592"/>
    <w:rsid w:val="000C3D59"/>
    <w:rsid w:val="000C679F"/>
    <w:rsid w:val="000D214A"/>
    <w:rsid w:val="000D4A41"/>
    <w:rsid w:val="000E13A0"/>
    <w:rsid w:val="000E3889"/>
    <w:rsid w:val="000E655F"/>
    <w:rsid w:val="000E7E18"/>
    <w:rsid w:val="000F5C46"/>
    <w:rsid w:val="000F6685"/>
    <w:rsid w:val="0010000F"/>
    <w:rsid w:val="001005E4"/>
    <w:rsid w:val="00121A24"/>
    <w:rsid w:val="0012723C"/>
    <w:rsid w:val="001313B5"/>
    <w:rsid w:val="001327BD"/>
    <w:rsid w:val="001338D9"/>
    <w:rsid w:val="00143C73"/>
    <w:rsid w:val="0014720C"/>
    <w:rsid w:val="0015502B"/>
    <w:rsid w:val="0016430E"/>
    <w:rsid w:val="001724A4"/>
    <w:rsid w:val="001741AC"/>
    <w:rsid w:val="00186297"/>
    <w:rsid w:val="001A24D1"/>
    <w:rsid w:val="001A62B7"/>
    <w:rsid w:val="001B1C1B"/>
    <w:rsid w:val="001C3232"/>
    <w:rsid w:val="001C341F"/>
    <w:rsid w:val="001C540A"/>
    <w:rsid w:val="001C5D53"/>
    <w:rsid w:val="001D33FA"/>
    <w:rsid w:val="001D5052"/>
    <w:rsid w:val="001E12E6"/>
    <w:rsid w:val="001E1B19"/>
    <w:rsid w:val="001E4BBF"/>
    <w:rsid w:val="001F486A"/>
    <w:rsid w:val="00201F71"/>
    <w:rsid w:val="00210CD3"/>
    <w:rsid w:val="002171E2"/>
    <w:rsid w:val="00217E3D"/>
    <w:rsid w:val="002324F0"/>
    <w:rsid w:val="00242084"/>
    <w:rsid w:val="00242B0D"/>
    <w:rsid w:val="002435BA"/>
    <w:rsid w:val="002446DE"/>
    <w:rsid w:val="002448F2"/>
    <w:rsid w:val="00253EBC"/>
    <w:rsid w:val="0025568F"/>
    <w:rsid w:val="00262F58"/>
    <w:rsid w:val="002727C5"/>
    <w:rsid w:val="00275FB9"/>
    <w:rsid w:val="00287809"/>
    <w:rsid w:val="002879CC"/>
    <w:rsid w:val="002932EF"/>
    <w:rsid w:val="00293CB0"/>
    <w:rsid w:val="002A302D"/>
    <w:rsid w:val="002A4CF4"/>
    <w:rsid w:val="002A7DDE"/>
    <w:rsid w:val="002C3851"/>
    <w:rsid w:val="002C61D3"/>
    <w:rsid w:val="002E20C3"/>
    <w:rsid w:val="002E5AAE"/>
    <w:rsid w:val="002F4F4A"/>
    <w:rsid w:val="002F723B"/>
    <w:rsid w:val="00300A6E"/>
    <w:rsid w:val="00304662"/>
    <w:rsid w:val="0030554A"/>
    <w:rsid w:val="00313B1D"/>
    <w:rsid w:val="0031562E"/>
    <w:rsid w:val="00316194"/>
    <w:rsid w:val="003241A9"/>
    <w:rsid w:val="00325F5C"/>
    <w:rsid w:val="00333D90"/>
    <w:rsid w:val="00341820"/>
    <w:rsid w:val="00355A87"/>
    <w:rsid w:val="00360D16"/>
    <w:rsid w:val="00370928"/>
    <w:rsid w:val="003727A8"/>
    <w:rsid w:val="003805DD"/>
    <w:rsid w:val="00380A79"/>
    <w:rsid w:val="00380FEB"/>
    <w:rsid w:val="00386B48"/>
    <w:rsid w:val="0039269E"/>
    <w:rsid w:val="003927E3"/>
    <w:rsid w:val="003939E5"/>
    <w:rsid w:val="00395D71"/>
    <w:rsid w:val="003B106F"/>
    <w:rsid w:val="003B2176"/>
    <w:rsid w:val="003B5DF5"/>
    <w:rsid w:val="003B76BE"/>
    <w:rsid w:val="003C3F79"/>
    <w:rsid w:val="003D2CA9"/>
    <w:rsid w:val="003D2EC0"/>
    <w:rsid w:val="003D3515"/>
    <w:rsid w:val="003D52F5"/>
    <w:rsid w:val="003D5F37"/>
    <w:rsid w:val="003E38F2"/>
    <w:rsid w:val="003F0D3A"/>
    <w:rsid w:val="003F16D7"/>
    <w:rsid w:val="003F53F4"/>
    <w:rsid w:val="00400517"/>
    <w:rsid w:val="004044AD"/>
    <w:rsid w:val="00410557"/>
    <w:rsid w:val="00417D93"/>
    <w:rsid w:val="004225A8"/>
    <w:rsid w:val="00424CB2"/>
    <w:rsid w:val="004300BF"/>
    <w:rsid w:val="004342F8"/>
    <w:rsid w:val="00434E97"/>
    <w:rsid w:val="00436982"/>
    <w:rsid w:val="00442939"/>
    <w:rsid w:val="00445B60"/>
    <w:rsid w:val="004502FE"/>
    <w:rsid w:val="00451F1C"/>
    <w:rsid w:val="0045203B"/>
    <w:rsid w:val="00463F9D"/>
    <w:rsid w:val="00466086"/>
    <w:rsid w:val="004674FF"/>
    <w:rsid w:val="004743D9"/>
    <w:rsid w:val="0047471F"/>
    <w:rsid w:val="004804A5"/>
    <w:rsid w:val="00482797"/>
    <w:rsid w:val="00483EAC"/>
    <w:rsid w:val="0048488A"/>
    <w:rsid w:val="004906BA"/>
    <w:rsid w:val="004A060B"/>
    <w:rsid w:val="004A27D0"/>
    <w:rsid w:val="004B11AF"/>
    <w:rsid w:val="004B4D9D"/>
    <w:rsid w:val="004C032F"/>
    <w:rsid w:val="004C5A4E"/>
    <w:rsid w:val="004D63DD"/>
    <w:rsid w:val="004E3722"/>
    <w:rsid w:val="004F26BD"/>
    <w:rsid w:val="004F6352"/>
    <w:rsid w:val="005017DF"/>
    <w:rsid w:val="00503C16"/>
    <w:rsid w:val="00505AF2"/>
    <w:rsid w:val="005105D3"/>
    <w:rsid w:val="00515C49"/>
    <w:rsid w:val="00523842"/>
    <w:rsid w:val="00525085"/>
    <w:rsid w:val="005264B5"/>
    <w:rsid w:val="00542AD5"/>
    <w:rsid w:val="0056081E"/>
    <w:rsid w:val="00566610"/>
    <w:rsid w:val="00571A15"/>
    <w:rsid w:val="00572CF4"/>
    <w:rsid w:val="00574925"/>
    <w:rsid w:val="00596BE6"/>
    <w:rsid w:val="005A28A8"/>
    <w:rsid w:val="005B19E9"/>
    <w:rsid w:val="005C1E74"/>
    <w:rsid w:val="005E00EF"/>
    <w:rsid w:val="005E6705"/>
    <w:rsid w:val="00605999"/>
    <w:rsid w:val="00614F3D"/>
    <w:rsid w:val="00616474"/>
    <w:rsid w:val="00622B7F"/>
    <w:rsid w:val="00623875"/>
    <w:rsid w:val="00624A87"/>
    <w:rsid w:val="00625B65"/>
    <w:rsid w:val="006424BE"/>
    <w:rsid w:val="00642BAC"/>
    <w:rsid w:val="0064544B"/>
    <w:rsid w:val="00647512"/>
    <w:rsid w:val="006532A5"/>
    <w:rsid w:val="006542CE"/>
    <w:rsid w:val="006604D8"/>
    <w:rsid w:val="00667B90"/>
    <w:rsid w:val="006729D8"/>
    <w:rsid w:val="006809A2"/>
    <w:rsid w:val="00684E06"/>
    <w:rsid w:val="00685224"/>
    <w:rsid w:val="006A7670"/>
    <w:rsid w:val="006B3DC7"/>
    <w:rsid w:val="006B7D74"/>
    <w:rsid w:val="006C69EE"/>
    <w:rsid w:val="006C74DF"/>
    <w:rsid w:val="006D330D"/>
    <w:rsid w:val="006D6EC6"/>
    <w:rsid w:val="006E4DBC"/>
    <w:rsid w:val="006E657D"/>
    <w:rsid w:val="006E769E"/>
    <w:rsid w:val="006F21C8"/>
    <w:rsid w:val="006F474E"/>
    <w:rsid w:val="006F61C2"/>
    <w:rsid w:val="007020E2"/>
    <w:rsid w:val="007072AF"/>
    <w:rsid w:val="00712271"/>
    <w:rsid w:val="007143C6"/>
    <w:rsid w:val="007175B5"/>
    <w:rsid w:val="00722C2B"/>
    <w:rsid w:val="00724B00"/>
    <w:rsid w:val="0073030C"/>
    <w:rsid w:val="00730548"/>
    <w:rsid w:val="0073482E"/>
    <w:rsid w:val="007369A6"/>
    <w:rsid w:val="00746CFB"/>
    <w:rsid w:val="00747372"/>
    <w:rsid w:val="00751C1A"/>
    <w:rsid w:val="00753976"/>
    <w:rsid w:val="00753C29"/>
    <w:rsid w:val="00775AAF"/>
    <w:rsid w:val="00781758"/>
    <w:rsid w:val="00781A15"/>
    <w:rsid w:val="007919E0"/>
    <w:rsid w:val="007B2EFF"/>
    <w:rsid w:val="007B3B67"/>
    <w:rsid w:val="007B620F"/>
    <w:rsid w:val="007C5732"/>
    <w:rsid w:val="007C7712"/>
    <w:rsid w:val="007D47B0"/>
    <w:rsid w:val="007D5EC9"/>
    <w:rsid w:val="007E17C4"/>
    <w:rsid w:val="007E1823"/>
    <w:rsid w:val="007E1EFF"/>
    <w:rsid w:val="007E26B0"/>
    <w:rsid w:val="007F1722"/>
    <w:rsid w:val="007F28B2"/>
    <w:rsid w:val="007F726E"/>
    <w:rsid w:val="00802AF2"/>
    <w:rsid w:val="00811D72"/>
    <w:rsid w:val="00814200"/>
    <w:rsid w:val="008157A8"/>
    <w:rsid w:val="0082184B"/>
    <w:rsid w:val="00840778"/>
    <w:rsid w:val="00842CBF"/>
    <w:rsid w:val="008540E9"/>
    <w:rsid w:val="00854F60"/>
    <w:rsid w:val="00855120"/>
    <w:rsid w:val="00861DA5"/>
    <w:rsid w:val="0087684B"/>
    <w:rsid w:val="00893B5C"/>
    <w:rsid w:val="00895DAC"/>
    <w:rsid w:val="008979E5"/>
    <w:rsid w:val="008A0089"/>
    <w:rsid w:val="008A0AF2"/>
    <w:rsid w:val="008A396B"/>
    <w:rsid w:val="008A457E"/>
    <w:rsid w:val="008A52C5"/>
    <w:rsid w:val="008A5C95"/>
    <w:rsid w:val="008B1845"/>
    <w:rsid w:val="008B4B4E"/>
    <w:rsid w:val="008B6762"/>
    <w:rsid w:val="008B7300"/>
    <w:rsid w:val="008C4849"/>
    <w:rsid w:val="008D2A70"/>
    <w:rsid w:val="008E5ABB"/>
    <w:rsid w:val="008F6DF6"/>
    <w:rsid w:val="00903E93"/>
    <w:rsid w:val="00910906"/>
    <w:rsid w:val="00911464"/>
    <w:rsid w:val="00911947"/>
    <w:rsid w:val="009128DD"/>
    <w:rsid w:val="009209D9"/>
    <w:rsid w:val="00925E00"/>
    <w:rsid w:val="009368A9"/>
    <w:rsid w:val="00937F39"/>
    <w:rsid w:val="00950735"/>
    <w:rsid w:val="00963E5A"/>
    <w:rsid w:val="009848A9"/>
    <w:rsid w:val="00985613"/>
    <w:rsid w:val="00993F95"/>
    <w:rsid w:val="009959D5"/>
    <w:rsid w:val="009B3FC2"/>
    <w:rsid w:val="009C12F8"/>
    <w:rsid w:val="009C2302"/>
    <w:rsid w:val="009E0A7A"/>
    <w:rsid w:val="009E300F"/>
    <w:rsid w:val="009F57F8"/>
    <w:rsid w:val="00A051D6"/>
    <w:rsid w:val="00A1647C"/>
    <w:rsid w:val="00A22092"/>
    <w:rsid w:val="00A24A22"/>
    <w:rsid w:val="00A411A6"/>
    <w:rsid w:val="00A45BCA"/>
    <w:rsid w:val="00A6404D"/>
    <w:rsid w:val="00A647AC"/>
    <w:rsid w:val="00A675EA"/>
    <w:rsid w:val="00A73B49"/>
    <w:rsid w:val="00A75207"/>
    <w:rsid w:val="00A7759E"/>
    <w:rsid w:val="00A81ADC"/>
    <w:rsid w:val="00A83F70"/>
    <w:rsid w:val="00A85DA8"/>
    <w:rsid w:val="00A87A93"/>
    <w:rsid w:val="00A91D21"/>
    <w:rsid w:val="00AA3F30"/>
    <w:rsid w:val="00AA47D7"/>
    <w:rsid w:val="00AB0A75"/>
    <w:rsid w:val="00AC0F93"/>
    <w:rsid w:val="00AC4188"/>
    <w:rsid w:val="00AC644A"/>
    <w:rsid w:val="00AD0BD3"/>
    <w:rsid w:val="00AE2542"/>
    <w:rsid w:val="00AE7C6D"/>
    <w:rsid w:val="00AF2DC9"/>
    <w:rsid w:val="00B00CBE"/>
    <w:rsid w:val="00B0292B"/>
    <w:rsid w:val="00B07B03"/>
    <w:rsid w:val="00B10372"/>
    <w:rsid w:val="00B20B4D"/>
    <w:rsid w:val="00B25656"/>
    <w:rsid w:val="00B25A30"/>
    <w:rsid w:val="00B31591"/>
    <w:rsid w:val="00B33695"/>
    <w:rsid w:val="00B4675C"/>
    <w:rsid w:val="00B4790C"/>
    <w:rsid w:val="00B50125"/>
    <w:rsid w:val="00B50F04"/>
    <w:rsid w:val="00B53D77"/>
    <w:rsid w:val="00B55EB3"/>
    <w:rsid w:val="00B56AAB"/>
    <w:rsid w:val="00B67F87"/>
    <w:rsid w:val="00B80FA5"/>
    <w:rsid w:val="00B82852"/>
    <w:rsid w:val="00B82BB0"/>
    <w:rsid w:val="00B84AEA"/>
    <w:rsid w:val="00B85E2C"/>
    <w:rsid w:val="00B92DB4"/>
    <w:rsid w:val="00B97050"/>
    <w:rsid w:val="00BD1040"/>
    <w:rsid w:val="00BD2528"/>
    <w:rsid w:val="00BD4ADA"/>
    <w:rsid w:val="00BD72D8"/>
    <w:rsid w:val="00BE0012"/>
    <w:rsid w:val="00BE04F2"/>
    <w:rsid w:val="00BF258C"/>
    <w:rsid w:val="00BF48A1"/>
    <w:rsid w:val="00C10063"/>
    <w:rsid w:val="00C218F3"/>
    <w:rsid w:val="00C242CE"/>
    <w:rsid w:val="00C27053"/>
    <w:rsid w:val="00C3075F"/>
    <w:rsid w:val="00C34FB3"/>
    <w:rsid w:val="00C360E2"/>
    <w:rsid w:val="00C3628E"/>
    <w:rsid w:val="00C36B22"/>
    <w:rsid w:val="00C45D01"/>
    <w:rsid w:val="00C5245D"/>
    <w:rsid w:val="00C55707"/>
    <w:rsid w:val="00C576AE"/>
    <w:rsid w:val="00C57CC7"/>
    <w:rsid w:val="00C6798A"/>
    <w:rsid w:val="00C75323"/>
    <w:rsid w:val="00C8091C"/>
    <w:rsid w:val="00C83958"/>
    <w:rsid w:val="00C840E6"/>
    <w:rsid w:val="00C865B6"/>
    <w:rsid w:val="00C867A1"/>
    <w:rsid w:val="00C91BB4"/>
    <w:rsid w:val="00C92E22"/>
    <w:rsid w:val="00C93DB4"/>
    <w:rsid w:val="00CA4251"/>
    <w:rsid w:val="00CB4740"/>
    <w:rsid w:val="00CB56A2"/>
    <w:rsid w:val="00CB7677"/>
    <w:rsid w:val="00CD076A"/>
    <w:rsid w:val="00CD54FF"/>
    <w:rsid w:val="00CD7920"/>
    <w:rsid w:val="00CE29D1"/>
    <w:rsid w:val="00CE3922"/>
    <w:rsid w:val="00CE41CE"/>
    <w:rsid w:val="00CE428A"/>
    <w:rsid w:val="00CF196D"/>
    <w:rsid w:val="00CF1DA7"/>
    <w:rsid w:val="00CF454F"/>
    <w:rsid w:val="00CF4881"/>
    <w:rsid w:val="00CF587F"/>
    <w:rsid w:val="00D035D3"/>
    <w:rsid w:val="00D07171"/>
    <w:rsid w:val="00D102BF"/>
    <w:rsid w:val="00D12167"/>
    <w:rsid w:val="00D2029B"/>
    <w:rsid w:val="00D22356"/>
    <w:rsid w:val="00D23CAE"/>
    <w:rsid w:val="00D31304"/>
    <w:rsid w:val="00D33874"/>
    <w:rsid w:val="00D33E56"/>
    <w:rsid w:val="00D3473B"/>
    <w:rsid w:val="00D37F7A"/>
    <w:rsid w:val="00D514F5"/>
    <w:rsid w:val="00D51CEC"/>
    <w:rsid w:val="00D531BA"/>
    <w:rsid w:val="00D56276"/>
    <w:rsid w:val="00D664CA"/>
    <w:rsid w:val="00D6732C"/>
    <w:rsid w:val="00D7420B"/>
    <w:rsid w:val="00D75CC0"/>
    <w:rsid w:val="00D7653D"/>
    <w:rsid w:val="00D767E0"/>
    <w:rsid w:val="00D82DF7"/>
    <w:rsid w:val="00D91FD4"/>
    <w:rsid w:val="00D9437F"/>
    <w:rsid w:val="00DA1B12"/>
    <w:rsid w:val="00DA5AA4"/>
    <w:rsid w:val="00DA7915"/>
    <w:rsid w:val="00DB324C"/>
    <w:rsid w:val="00DB6693"/>
    <w:rsid w:val="00DD27D9"/>
    <w:rsid w:val="00DD401F"/>
    <w:rsid w:val="00DD4037"/>
    <w:rsid w:val="00DD5994"/>
    <w:rsid w:val="00DD67C1"/>
    <w:rsid w:val="00DE2882"/>
    <w:rsid w:val="00DF321B"/>
    <w:rsid w:val="00DF4394"/>
    <w:rsid w:val="00DF44C9"/>
    <w:rsid w:val="00E03668"/>
    <w:rsid w:val="00E107D6"/>
    <w:rsid w:val="00E119B9"/>
    <w:rsid w:val="00E1438A"/>
    <w:rsid w:val="00E1583F"/>
    <w:rsid w:val="00E25032"/>
    <w:rsid w:val="00E2719C"/>
    <w:rsid w:val="00E278AC"/>
    <w:rsid w:val="00E36132"/>
    <w:rsid w:val="00E40CFC"/>
    <w:rsid w:val="00E422CD"/>
    <w:rsid w:val="00E507AF"/>
    <w:rsid w:val="00E62F39"/>
    <w:rsid w:val="00E63D0A"/>
    <w:rsid w:val="00E734CC"/>
    <w:rsid w:val="00E75E98"/>
    <w:rsid w:val="00E76CF7"/>
    <w:rsid w:val="00E82278"/>
    <w:rsid w:val="00E95950"/>
    <w:rsid w:val="00E965D3"/>
    <w:rsid w:val="00EA3F73"/>
    <w:rsid w:val="00EB236D"/>
    <w:rsid w:val="00EC014B"/>
    <w:rsid w:val="00EC7760"/>
    <w:rsid w:val="00ED4304"/>
    <w:rsid w:val="00ED7891"/>
    <w:rsid w:val="00EE08FF"/>
    <w:rsid w:val="00EE36F9"/>
    <w:rsid w:val="00EE6307"/>
    <w:rsid w:val="00EF0C05"/>
    <w:rsid w:val="00F0317A"/>
    <w:rsid w:val="00F10400"/>
    <w:rsid w:val="00F11CC5"/>
    <w:rsid w:val="00F138A3"/>
    <w:rsid w:val="00F16722"/>
    <w:rsid w:val="00F2024B"/>
    <w:rsid w:val="00F25B8B"/>
    <w:rsid w:val="00F25E66"/>
    <w:rsid w:val="00F3227A"/>
    <w:rsid w:val="00F3278D"/>
    <w:rsid w:val="00F406C0"/>
    <w:rsid w:val="00F4161E"/>
    <w:rsid w:val="00F56552"/>
    <w:rsid w:val="00F60999"/>
    <w:rsid w:val="00F64E68"/>
    <w:rsid w:val="00F72709"/>
    <w:rsid w:val="00F80144"/>
    <w:rsid w:val="00F80F02"/>
    <w:rsid w:val="00F84633"/>
    <w:rsid w:val="00F85CE3"/>
    <w:rsid w:val="00F94198"/>
    <w:rsid w:val="00F96F91"/>
    <w:rsid w:val="00FB14FF"/>
    <w:rsid w:val="00FB22CB"/>
    <w:rsid w:val="00FB458D"/>
    <w:rsid w:val="00FB5C26"/>
    <w:rsid w:val="00FC20E4"/>
    <w:rsid w:val="00FD2B81"/>
    <w:rsid w:val="00FD7ADA"/>
    <w:rsid w:val="00FD7F97"/>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A83223"/>
  <w15:docId w15:val="{1A69BFAC-79CF-439E-9F3C-C5AFE0AF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4"/>
  </w:style>
  <w:style w:type="paragraph" w:styleId="Footer">
    <w:name w:val="footer"/>
    <w:basedOn w:val="Normal"/>
    <w:link w:val="FooterChar"/>
    <w:uiPriority w:val="99"/>
    <w:unhideWhenUsed/>
    <w:rsid w:val="00D3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4"/>
  </w:style>
  <w:style w:type="paragraph" w:styleId="ListParagraph">
    <w:name w:val="List Paragraph"/>
    <w:basedOn w:val="Normal"/>
    <w:uiPriority w:val="1"/>
    <w:qFormat/>
    <w:rsid w:val="004A27D0"/>
    <w:pPr>
      <w:ind w:left="720"/>
      <w:contextualSpacing/>
    </w:pPr>
  </w:style>
  <w:style w:type="character" w:styleId="CommentReference">
    <w:name w:val="annotation reference"/>
    <w:basedOn w:val="DefaultParagraphFont"/>
    <w:uiPriority w:val="99"/>
    <w:semiHidden/>
    <w:unhideWhenUsed/>
    <w:rsid w:val="006542CE"/>
    <w:rPr>
      <w:sz w:val="16"/>
      <w:szCs w:val="16"/>
    </w:rPr>
  </w:style>
  <w:style w:type="paragraph" w:styleId="CommentText">
    <w:name w:val="annotation text"/>
    <w:basedOn w:val="Normal"/>
    <w:link w:val="CommentTextChar"/>
    <w:uiPriority w:val="99"/>
    <w:semiHidden/>
    <w:unhideWhenUsed/>
    <w:rsid w:val="006542CE"/>
    <w:pPr>
      <w:spacing w:line="240" w:lineRule="auto"/>
    </w:pPr>
    <w:rPr>
      <w:sz w:val="20"/>
      <w:szCs w:val="20"/>
    </w:rPr>
  </w:style>
  <w:style w:type="character" w:customStyle="1" w:styleId="CommentTextChar">
    <w:name w:val="Comment Text Char"/>
    <w:basedOn w:val="DefaultParagraphFont"/>
    <w:link w:val="CommentText"/>
    <w:uiPriority w:val="99"/>
    <w:semiHidden/>
    <w:rsid w:val="006542CE"/>
    <w:rPr>
      <w:sz w:val="20"/>
      <w:szCs w:val="20"/>
    </w:rPr>
  </w:style>
  <w:style w:type="paragraph" w:styleId="CommentSubject">
    <w:name w:val="annotation subject"/>
    <w:basedOn w:val="CommentText"/>
    <w:next w:val="CommentText"/>
    <w:link w:val="CommentSubjectChar"/>
    <w:uiPriority w:val="99"/>
    <w:semiHidden/>
    <w:unhideWhenUsed/>
    <w:rsid w:val="006542CE"/>
    <w:rPr>
      <w:b/>
      <w:bCs/>
    </w:rPr>
  </w:style>
  <w:style w:type="character" w:customStyle="1" w:styleId="CommentSubjectChar">
    <w:name w:val="Comment Subject Char"/>
    <w:basedOn w:val="CommentTextChar"/>
    <w:link w:val="CommentSubject"/>
    <w:uiPriority w:val="99"/>
    <w:semiHidden/>
    <w:rsid w:val="006542CE"/>
    <w:rPr>
      <w:b/>
      <w:bCs/>
      <w:sz w:val="20"/>
      <w:szCs w:val="20"/>
    </w:rPr>
  </w:style>
  <w:style w:type="paragraph" w:styleId="BalloonText">
    <w:name w:val="Balloon Text"/>
    <w:basedOn w:val="Normal"/>
    <w:link w:val="BalloonTextChar"/>
    <w:uiPriority w:val="99"/>
    <w:semiHidden/>
    <w:unhideWhenUsed/>
    <w:rsid w:val="0065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CE"/>
    <w:rPr>
      <w:rFonts w:ascii="Segoe UI" w:hAnsi="Segoe UI" w:cs="Segoe UI"/>
      <w:sz w:val="18"/>
      <w:szCs w:val="18"/>
    </w:rPr>
  </w:style>
  <w:style w:type="paragraph" w:styleId="BodyText">
    <w:name w:val="Body Text"/>
    <w:basedOn w:val="Normal"/>
    <w:link w:val="BodyTextChar"/>
    <w:uiPriority w:val="1"/>
    <w:qFormat/>
    <w:rsid w:val="00F96F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96F91"/>
    <w:rPr>
      <w:rFonts w:ascii="Times New Roman" w:eastAsia="Times New Roman" w:hAnsi="Times New Roman" w:cs="Times New Roman"/>
      <w:sz w:val="20"/>
      <w:szCs w:val="20"/>
    </w:rPr>
  </w:style>
  <w:style w:type="paragraph" w:styleId="Revision">
    <w:name w:val="Revision"/>
    <w:hidden/>
    <w:uiPriority w:val="99"/>
    <w:semiHidden/>
    <w:rsid w:val="004B11AF"/>
    <w:pPr>
      <w:spacing w:after="0" w:line="240" w:lineRule="auto"/>
    </w:pPr>
  </w:style>
  <w:style w:type="paragraph" w:styleId="NormalWeb">
    <w:name w:val="Normal (Web)"/>
    <w:basedOn w:val="Normal"/>
    <w:uiPriority w:val="99"/>
    <w:semiHidden/>
    <w:unhideWhenUsed/>
    <w:rsid w:val="00F7270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3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ABA4E41856948B5BA866A79F85A83" ma:contentTypeVersion="13" ma:contentTypeDescription="Create a new document." ma:contentTypeScope="" ma:versionID="5ba833dab519a106606b9db757e274b6">
  <xsd:schema xmlns:xsd="http://www.w3.org/2001/XMLSchema" xmlns:xs="http://www.w3.org/2001/XMLSchema" xmlns:p="http://schemas.microsoft.com/office/2006/metadata/properties" xmlns:ns3="b4ab9a9d-57ac-467d-8d2f-121a63321e3f" xmlns:ns4="0379fbc5-2f08-4c45-ae92-aa14f3e9ac0c" targetNamespace="http://schemas.microsoft.com/office/2006/metadata/properties" ma:root="true" ma:fieldsID="51f76932abeca3bfcb02b0b1bda8b1b9" ns3:_="" ns4:_="">
    <xsd:import namespace="b4ab9a9d-57ac-467d-8d2f-121a63321e3f"/>
    <xsd:import namespace="0379fbc5-2f08-4c45-ae92-aa14f3e9ac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b9a9d-57ac-467d-8d2f-121a63321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9fbc5-2f08-4c45-ae92-aa14f3e9ac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E812B6-6BE8-43F7-83CB-7E9B1BEE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b9a9d-57ac-467d-8d2f-121a63321e3f"/>
    <ds:schemaRef ds:uri="0379fbc5-2f08-4c45-ae92-aa14f3e9a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2A9C6-D494-46E8-8F08-2B12B93677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F63927-9053-4A4F-B2A5-4F0D0A712CD3}">
  <ds:schemaRefs>
    <ds:schemaRef ds:uri="http://schemas.microsoft.com/sharepoint/v3/contenttype/forms"/>
  </ds:schemaRefs>
</ds:datastoreItem>
</file>

<file path=customXml/itemProps4.xml><?xml version="1.0" encoding="utf-8"?>
<ds:datastoreItem xmlns:ds="http://schemas.openxmlformats.org/officeDocument/2006/customXml" ds:itemID="{58290744-B745-40E2-8557-CFD8576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1815</Words>
  <Characters>9658</Characters>
  <Application>Microsoft Office Word</Application>
  <DocSecurity>0</DocSecurity>
  <Lines>965</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Michelle Hixon</cp:lastModifiedBy>
  <cp:revision>4</cp:revision>
  <dcterms:created xsi:type="dcterms:W3CDTF">2021-02-09T15:15:00Z</dcterms:created>
  <dcterms:modified xsi:type="dcterms:W3CDTF">2021-02-17T13:44:00Z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83cbab92-8bac-4798-99da-6efe4be706f7</vt:lpwstr>
  </property>
  <property fmtid="{D5CDD505-2E9C-101B-9397-08002B2CF9AE}" pid="3" name="ContentTypeId">
    <vt:lpwstr>0x010100A61ABA4E41856948B5BA866A79F85A83</vt:lpwstr>
  </property>
</Properties>
</file>