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F1EB" w14:textId="07903BFE" w:rsidR="005E4B23" w:rsidRPr="00976A77" w:rsidRDefault="00175E91" w:rsidP="005E4B23">
      <w:pPr>
        <w:pStyle w:val="NormalWeb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E4B23" w:rsidRPr="00976A77">
        <w:rPr>
          <w:rFonts w:ascii="Times New Roman" w:hAnsi="Times New Roman" w:cs="Times New Roman"/>
          <w:b/>
          <w:bCs/>
          <w:sz w:val="28"/>
          <w:szCs w:val="28"/>
        </w:rPr>
        <w:t>ertification for the 20</w:t>
      </w:r>
      <w:r w:rsidR="00BD417A">
        <w:rPr>
          <w:rFonts w:ascii="Times New Roman" w:hAnsi="Times New Roman" w:cs="Times New Roman"/>
          <w:b/>
          <w:bCs/>
          <w:sz w:val="28"/>
          <w:szCs w:val="28"/>
        </w:rPr>
        <w:t>20-</w:t>
      </w:r>
      <w:r w:rsidR="00357EAA" w:rsidRPr="00976A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41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4B23" w:rsidRPr="00976A77">
        <w:rPr>
          <w:rFonts w:ascii="Times New Roman" w:hAnsi="Times New Roman" w:cs="Times New Roman"/>
          <w:b/>
          <w:bCs/>
          <w:sz w:val="28"/>
          <w:szCs w:val="28"/>
        </w:rPr>
        <w:t xml:space="preserve"> School Year</w:t>
      </w:r>
    </w:p>
    <w:p w14:paraId="258FF1EC" w14:textId="77777777" w:rsidR="005E4B23" w:rsidRPr="00976A77" w:rsidRDefault="005E4B23" w:rsidP="005E4B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A77">
        <w:rPr>
          <w:b/>
          <w:bCs/>
          <w:sz w:val="28"/>
          <w:szCs w:val="28"/>
        </w:rPr>
        <w:t>Constitutionally Protected Prayer in Public Schools</w:t>
      </w:r>
    </w:p>
    <w:p w14:paraId="258FF1ED" w14:textId="506E38B9" w:rsidR="005E4B23" w:rsidRPr="00E24BD8" w:rsidRDefault="00D93524" w:rsidP="005E4B23">
      <w:pPr>
        <w:pStyle w:val="NormalWeb"/>
        <w:rPr>
          <w:rFonts w:ascii="Times New Roman" w:hAnsi="Times New Roman" w:cs="Times New Roman"/>
          <w:szCs w:val="22"/>
        </w:rPr>
      </w:pPr>
      <w:r w:rsidRPr="00E24BD8">
        <w:rPr>
          <w:rFonts w:ascii="Times New Roman" w:hAnsi="Times New Roman" w:cs="Times New Roman"/>
          <w:szCs w:val="22"/>
        </w:rPr>
        <w:t>Pursuant to</w:t>
      </w:r>
      <w:r w:rsidR="00200617" w:rsidRPr="00E24BD8">
        <w:rPr>
          <w:rFonts w:ascii="Times New Roman" w:hAnsi="Times New Roman" w:cs="Times New Roman"/>
          <w:szCs w:val="22"/>
        </w:rPr>
        <w:t xml:space="preserve"> 20 U.S.C. 7904, t</w:t>
      </w:r>
      <w:r w:rsidR="005E4B23" w:rsidRPr="00E24BD8">
        <w:rPr>
          <w:rFonts w:ascii="Times New Roman" w:hAnsi="Times New Roman" w:cs="Times New Roman"/>
          <w:szCs w:val="22"/>
        </w:rPr>
        <w:t xml:space="preserve">his is to certify </w:t>
      </w:r>
      <w:r w:rsidR="00200617" w:rsidRPr="00E24BD8">
        <w:rPr>
          <w:rFonts w:ascii="Times New Roman" w:hAnsi="Times New Roman" w:cs="Times New Roman"/>
          <w:szCs w:val="22"/>
        </w:rPr>
        <w:t xml:space="preserve">in writing </w:t>
      </w:r>
      <w:r w:rsidR="005E4B23" w:rsidRPr="00E24BD8">
        <w:rPr>
          <w:rFonts w:ascii="Times New Roman" w:hAnsi="Times New Roman" w:cs="Times New Roman"/>
          <w:szCs w:val="22"/>
        </w:rPr>
        <w:t xml:space="preserve">that the local educational agency </w:t>
      </w:r>
      <w:r w:rsidR="002F5DDC" w:rsidRPr="00E24BD8">
        <w:rPr>
          <w:rFonts w:ascii="Times New Roman" w:hAnsi="Times New Roman" w:cs="Times New Roman"/>
          <w:szCs w:val="22"/>
        </w:rPr>
        <w:t xml:space="preserve">(LEA) </w:t>
      </w:r>
      <w:r w:rsidR="005E4B23" w:rsidRPr="00E24BD8">
        <w:rPr>
          <w:rFonts w:ascii="Times New Roman" w:hAnsi="Times New Roman" w:cs="Times New Roman"/>
          <w:szCs w:val="22"/>
        </w:rPr>
        <w:t xml:space="preserve">does not have any policy that </w:t>
      </w:r>
      <w:r w:rsidR="000D1D2D" w:rsidRPr="00E24BD8">
        <w:rPr>
          <w:rFonts w:ascii="Times New Roman" w:hAnsi="Times New Roman" w:cs="Times New Roman"/>
          <w:szCs w:val="22"/>
        </w:rPr>
        <w:t>“</w:t>
      </w:r>
      <w:r w:rsidR="005E4B23" w:rsidRPr="00E24BD8">
        <w:rPr>
          <w:rFonts w:ascii="Times New Roman" w:hAnsi="Times New Roman" w:cs="Times New Roman"/>
          <w:szCs w:val="22"/>
        </w:rPr>
        <w:t>prevents, or otherwise denies participation in, constitutionally protected prayer</w:t>
      </w:r>
      <w:r w:rsidR="000D1D2D" w:rsidRPr="00E24BD8">
        <w:rPr>
          <w:rFonts w:ascii="Times New Roman" w:hAnsi="Times New Roman" w:cs="Times New Roman"/>
          <w:szCs w:val="22"/>
        </w:rPr>
        <w:t>”</w:t>
      </w:r>
      <w:r w:rsidR="005E4B23" w:rsidRPr="00E24BD8">
        <w:rPr>
          <w:rFonts w:ascii="Times New Roman" w:hAnsi="Times New Roman" w:cs="Times New Roman"/>
          <w:szCs w:val="22"/>
        </w:rPr>
        <w:t xml:space="preserve"> in public schools</w:t>
      </w:r>
      <w:r w:rsidR="00976A77" w:rsidRPr="00E24BD8">
        <w:rPr>
          <w:rFonts w:ascii="Times New Roman" w:hAnsi="Times New Roman" w:cs="Times New Roman"/>
          <w:szCs w:val="22"/>
        </w:rPr>
        <w:t xml:space="preserve">. </w:t>
      </w:r>
      <w:r w:rsidR="005E4B23" w:rsidRPr="00E24BD8">
        <w:rPr>
          <w:rFonts w:ascii="Times New Roman" w:hAnsi="Times New Roman" w:cs="Times New Roman"/>
          <w:szCs w:val="22"/>
        </w:rPr>
        <w:t xml:space="preserve">  </w:t>
      </w:r>
    </w:p>
    <w:p w14:paraId="258FF1EE" w14:textId="666D19BB" w:rsidR="005E4B23" w:rsidRPr="00E24BD8" w:rsidRDefault="00C23FC1" w:rsidP="005E4B23">
      <w:pPr>
        <w:pStyle w:val="NormalWeb"/>
        <w:rPr>
          <w:rFonts w:ascii="Times New Roman" w:hAnsi="Times New Roman" w:cs="Times New Roman"/>
          <w:szCs w:val="22"/>
        </w:rPr>
      </w:pPr>
      <w:r w:rsidRPr="00E24BD8">
        <w:rPr>
          <w:rFonts w:ascii="Times New Roman" w:hAnsi="Times New Roman" w:cs="Times New Roman"/>
          <w:szCs w:val="22"/>
        </w:rPr>
        <w:t>T</w:t>
      </w:r>
      <w:r w:rsidR="00960B45" w:rsidRPr="00E24BD8">
        <w:rPr>
          <w:rFonts w:ascii="Times New Roman" w:hAnsi="Times New Roman" w:cs="Times New Roman"/>
          <w:szCs w:val="22"/>
        </w:rPr>
        <w:t xml:space="preserve">he United States Supreme Court </w:t>
      </w:r>
      <w:r w:rsidR="003B3CE1" w:rsidRPr="00E24BD8">
        <w:rPr>
          <w:rFonts w:ascii="Times New Roman" w:hAnsi="Times New Roman" w:cs="Times New Roman"/>
          <w:szCs w:val="22"/>
        </w:rPr>
        <w:t xml:space="preserve">(USSC) </w:t>
      </w:r>
      <w:r w:rsidR="00960B45" w:rsidRPr="00E24BD8">
        <w:rPr>
          <w:rFonts w:ascii="Times New Roman" w:hAnsi="Times New Roman" w:cs="Times New Roman"/>
          <w:szCs w:val="22"/>
        </w:rPr>
        <w:t xml:space="preserve">has said that students </w:t>
      </w:r>
      <w:r w:rsidR="00E23625" w:rsidRPr="00E24BD8">
        <w:rPr>
          <w:rFonts w:ascii="Times New Roman" w:hAnsi="Times New Roman" w:cs="Times New Roman"/>
          <w:szCs w:val="22"/>
        </w:rPr>
        <w:t xml:space="preserve">do not </w:t>
      </w:r>
      <w:r w:rsidR="00960B45" w:rsidRPr="00E24BD8">
        <w:rPr>
          <w:rFonts w:ascii="Times New Roman" w:hAnsi="Times New Roman" w:cs="Times New Roman"/>
          <w:szCs w:val="22"/>
        </w:rPr>
        <w:t>“</w:t>
      </w:r>
      <w:r w:rsidR="00E23625" w:rsidRPr="00E24BD8">
        <w:rPr>
          <w:rFonts w:ascii="Times New Roman" w:hAnsi="Times New Roman" w:cs="Times New Roman"/>
          <w:szCs w:val="22"/>
        </w:rPr>
        <w:t>shed their constitutional rights to freedom of speech or expression at the schoolhouse gate.”</w:t>
      </w:r>
      <w:r w:rsidR="003D79A8" w:rsidRPr="00E24BD8">
        <w:rPr>
          <w:rStyle w:val="FootnoteReference"/>
          <w:rFonts w:ascii="Times New Roman" w:hAnsi="Times New Roman" w:cs="Times New Roman"/>
          <w:szCs w:val="22"/>
        </w:rPr>
        <w:footnoteReference w:id="1"/>
      </w:r>
      <w:r w:rsidR="00E23625" w:rsidRPr="00E24BD8">
        <w:rPr>
          <w:rFonts w:ascii="Times New Roman" w:hAnsi="Times New Roman" w:cs="Times New Roman"/>
          <w:szCs w:val="22"/>
        </w:rPr>
        <w:t xml:space="preserve"> </w:t>
      </w:r>
      <w:r w:rsidRPr="00E24BD8">
        <w:rPr>
          <w:rFonts w:ascii="Times New Roman" w:hAnsi="Times New Roman" w:cs="Times New Roman"/>
          <w:szCs w:val="22"/>
        </w:rPr>
        <w:t>Guidance from the U</w:t>
      </w:r>
      <w:r w:rsidR="001A5771" w:rsidRPr="00E24BD8">
        <w:rPr>
          <w:rFonts w:ascii="Times New Roman" w:hAnsi="Times New Roman" w:cs="Times New Roman"/>
          <w:szCs w:val="22"/>
        </w:rPr>
        <w:t xml:space="preserve">nited States </w:t>
      </w:r>
      <w:r w:rsidRPr="00E24BD8">
        <w:rPr>
          <w:rFonts w:ascii="Times New Roman" w:hAnsi="Times New Roman" w:cs="Times New Roman"/>
          <w:szCs w:val="22"/>
        </w:rPr>
        <w:t xml:space="preserve">Department of Education </w:t>
      </w:r>
      <w:r w:rsidR="001A5771" w:rsidRPr="00E24BD8">
        <w:rPr>
          <w:rFonts w:ascii="Times New Roman" w:hAnsi="Times New Roman" w:cs="Times New Roman"/>
          <w:szCs w:val="22"/>
        </w:rPr>
        <w:t xml:space="preserve">(USED) </w:t>
      </w:r>
      <w:r w:rsidRPr="00E24BD8">
        <w:rPr>
          <w:rFonts w:ascii="Times New Roman" w:hAnsi="Times New Roman" w:cs="Times New Roman"/>
          <w:szCs w:val="22"/>
        </w:rPr>
        <w:t>clarifies, "The First Amendment forbids religious activity that is sponsored by the government but protects religious activity that is initiated by private individuals," which includes students.</w:t>
      </w:r>
      <w:r w:rsidRPr="00E24BD8">
        <w:rPr>
          <w:rStyle w:val="FootnoteReference"/>
          <w:rFonts w:ascii="Times New Roman" w:hAnsi="Times New Roman" w:cs="Times New Roman"/>
          <w:szCs w:val="22"/>
        </w:rPr>
        <w:footnoteReference w:id="2"/>
      </w:r>
      <w:r w:rsidRPr="00E24BD8">
        <w:rPr>
          <w:rFonts w:ascii="Times New Roman" w:hAnsi="Times New Roman" w:cs="Times New Roman"/>
          <w:szCs w:val="22"/>
        </w:rPr>
        <w:t xml:space="preserve"> Further, a</w:t>
      </w:r>
      <w:r w:rsidR="003B23BF" w:rsidRPr="00E24BD8">
        <w:rPr>
          <w:rFonts w:ascii="Times New Roman" w:hAnsi="Times New Roman" w:cs="Times New Roman"/>
          <w:szCs w:val="22"/>
        </w:rPr>
        <w:t xml:space="preserve">ccording to the guidance, </w:t>
      </w:r>
      <w:r w:rsidR="00363761" w:rsidRPr="00E24BD8">
        <w:rPr>
          <w:rFonts w:ascii="Times New Roman" w:hAnsi="Times New Roman" w:cs="Times New Roman"/>
          <w:szCs w:val="22"/>
        </w:rPr>
        <w:t>“</w:t>
      </w:r>
      <w:r w:rsidR="005E4B23" w:rsidRPr="00E24BD8">
        <w:rPr>
          <w:rFonts w:ascii="Times New Roman" w:hAnsi="Times New Roman" w:cs="Times New Roman"/>
          <w:szCs w:val="22"/>
        </w:rPr>
        <w:t>students may read their Bibles or other scriptures, say grace before meals, and pray or study religious materials with fellow students during recess, the lunch hour, or other non-instructional time to the same extent that they may engage in nonreligious activities."</w:t>
      </w:r>
      <w:r w:rsidRPr="00E24BD8">
        <w:rPr>
          <w:rStyle w:val="FootnoteReference"/>
          <w:rFonts w:ascii="Times New Roman" w:hAnsi="Times New Roman" w:cs="Times New Roman"/>
          <w:szCs w:val="22"/>
        </w:rPr>
        <w:footnoteReference w:id="3"/>
      </w:r>
      <w:r w:rsidR="005E4B23" w:rsidRPr="00E24BD8">
        <w:rPr>
          <w:rFonts w:ascii="Times New Roman" w:hAnsi="Times New Roman" w:cs="Times New Roman"/>
          <w:szCs w:val="22"/>
        </w:rPr>
        <w:t xml:space="preserve"> </w:t>
      </w:r>
    </w:p>
    <w:p w14:paraId="258FF1F0" w14:textId="6641814B" w:rsidR="005E4B23" w:rsidRPr="00E24BD8" w:rsidRDefault="0000475B" w:rsidP="0015768F">
      <w:pPr>
        <w:pStyle w:val="NormalWeb"/>
        <w:rPr>
          <w:rFonts w:ascii="Times New Roman" w:hAnsi="Times New Roman" w:cs="Times New Roman"/>
          <w:szCs w:val="22"/>
        </w:rPr>
      </w:pPr>
      <w:r w:rsidRPr="00E24BD8">
        <w:rPr>
          <w:rFonts w:ascii="Times New Roman" w:hAnsi="Times New Roman" w:cs="Times New Roman"/>
          <w:szCs w:val="22"/>
        </w:rPr>
        <w:t>However</w:t>
      </w:r>
      <w:r w:rsidR="005E4B23" w:rsidRPr="00E24BD8">
        <w:rPr>
          <w:rFonts w:ascii="Times New Roman" w:hAnsi="Times New Roman" w:cs="Times New Roman"/>
          <w:szCs w:val="22"/>
        </w:rPr>
        <w:t xml:space="preserve">, </w:t>
      </w:r>
      <w:r w:rsidR="003B3CE1" w:rsidRPr="00E24BD8">
        <w:rPr>
          <w:rFonts w:ascii="Times New Roman" w:hAnsi="Times New Roman" w:cs="Times New Roman"/>
          <w:szCs w:val="22"/>
        </w:rPr>
        <w:t>the USSC has said, “There is a crucial difference between government speech endorsing religion, which the Establishment Clause forbids, and private speech endorsing religion.”</w:t>
      </w:r>
      <w:r w:rsidR="003B3CE1" w:rsidRPr="00E24BD8">
        <w:rPr>
          <w:rStyle w:val="FootnoteReference"/>
          <w:rFonts w:ascii="Times New Roman" w:hAnsi="Times New Roman" w:cs="Times New Roman"/>
          <w:szCs w:val="22"/>
        </w:rPr>
        <w:footnoteReference w:id="4"/>
      </w:r>
      <w:r w:rsidR="003B3CE1" w:rsidRPr="00E24BD8">
        <w:rPr>
          <w:rFonts w:ascii="Times New Roman" w:hAnsi="Times New Roman" w:cs="Times New Roman"/>
          <w:szCs w:val="22"/>
        </w:rPr>
        <w:t xml:space="preserve"> Accordingly, </w:t>
      </w:r>
      <w:r w:rsidR="005E4B23" w:rsidRPr="00E24BD8">
        <w:rPr>
          <w:rFonts w:ascii="Times New Roman" w:hAnsi="Times New Roman" w:cs="Times New Roman"/>
          <w:szCs w:val="22"/>
        </w:rPr>
        <w:t>school officials may not "</w:t>
      </w:r>
      <w:r w:rsidR="003B23BF" w:rsidRPr="00E24BD8">
        <w:rPr>
          <w:rFonts w:ascii="Times New Roman" w:hAnsi="Times New Roman" w:cs="Times New Roman"/>
          <w:szCs w:val="22"/>
        </w:rPr>
        <w:t>lead their classes in prayer, devotional readings from the Bible,</w:t>
      </w:r>
      <w:r w:rsidR="00742974" w:rsidRPr="00E24BD8">
        <w:rPr>
          <w:rFonts w:ascii="Times New Roman" w:hAnsi="Times New Roman" w:cs="Times New Roman"/>
          <w:szCs w:val="22"/>
        </w:rPr>
        <w:t xml:space="preserve"> or other religious activities.</w:t>
      </w:r>
      <w:r w:rsidR="008776D8" w:rsidRPr="00E24BD8">
        <w:rPr>
          <w:rFonts w:ascii="Times New Roman" w:hAnsi="Times New Roman" w:cs="Times New Roman"/>
          <w:szCs w:val="22"/>
        </w:rPr>
        <w:t>”</w:t>
      </w:r>
      <w:r w:rsidR="008776D8" w:rsidRPr="00E24BD8">
        <w:rPr>
          <w:rStyle w:val="FootnoteReference"/>
          <w:rFonts w:ascii="Times New Roman" w:hAnsi="Times New Roman" w:cs="Times New Roman"/>
          <w:szCs w:val="22"/>
        </w:rPr>
        <w:footnoteReference w:id="5"/>
      </w:r>
      <w:r w:rsidR="00742974" w:rsidRPr="00E24BD8">
        <w:rPr>
          <w:rFonts w:ascii="Times New Roman" w:hAnsi="Times New Roman" w:cs="Times New Roman"/>
          <w:szCs w:val="22"/>
        </w:rPr>
        <w:t xml:space="preserve"> </w:t>
      </w:r>
      <w:r w:rsidR="00DE59A4" w:rsidRPr="00E24BD8">
        <w:rPr>
          <w:rFonts w:ascii="Times New Roman" w:hAnsi="Times New Roman" w:cs="Times New Roman"/>
          <w:szCs w:val="22"/>
        </w:rPr>
        <w:t>“</w:t>
      </w:r>
      <w:r w:rsidR="00742974" w:rsidRPr="00E24BD8">
        <w:rPr>
          <w:rFonts w:ascii="Times New Roman" w:hAnsi="Times New Roman" w:cs="Times New Roman"/>
          <w:szCs w:val="22"/>
        </w:rPr>
        <w:t>Nor may school officials attempt to persuade or</w:t>
      </w:r>
      <w:r w:rsidR="003B23BF" w:rsidRPr="00E24BD8">
        <w:rPr>
          <w:rFonts w:ascii="Times New Roman" w:hAnsi="Times New Roman" w:cs="Times New Roman"/>
          <w:szCs w:val="22"/>
        </w:rPr>
        <w:t xml:space="preserve"> </w:t>
      </w:r>
      <w:r w:rsidR="005E4B23" w:rsidRPr="00E24BD8">
        <w:rPr>
          <w:rFonts w:ascii="Times New Roman" w:hAnsi="Times New Roman" w:cs="Times New Roman"/>
          <w:szCs w:val="22"/>
        </w:rPr>
        <w:t>compel students to participate in prayer or other religious activities.”</w:t>
      </w:r>
      <w:r w:rsidR="0035751C" w:rsidRPr="00E24BD8">
        <w:rPr>
          <w:rStyle w:val="FootnoteReference"/>
          <w:rFonts w:ascii="Times New Roman" w:hAnsi="Times New Roman" w:cs="Times New Roman"/>
          <w:szCs w:val="22"/>
        </w:rPr>
        <w:footnoteReference w:id="6"/>
      </w:r>
      <w:r w:rsidR="005E4B23" w:rsidRPr="00E24BD8">
        <w:rPr>
          <w:rFonts w:ascii="Times New Roman" w:hAnsi="Times New Roman" w:cs="Times New Roman"/>
          <w:szCs w:val="22"/>
        </w:rPr>
        <w:t xml:space="preserve">  </w:t>
      </w:r>
    </w:p>
    <w:p w14:paraId="6B1BAD23" w14:textId="3DCCA42E" w:rsidR="00DE59A4" w:rsidRPr="00E24BD8" w:rsidRDefault="00DE59A4" w:rsidP="00DE59A4">
      <w:pPr>
        <w:autoSpaceDE w:val="0"/>
        <w:autoSpaceDN w:val="0"/>
        <w:adjustRightInd w:val="0"/>
        <w:rPr>
          <w:b/>
          <w:bCs/>
          <w:szCs w:val="22"/>
        </w:rPr>
      </w:pPr>
      <w:r w:rsidRPr="00E24BD8">
        <w:rPr>
          <w:b/>
          <w:bCs/>
          <w:szCs w:val="22"/>
          <w:u w:val="single"/>
        </w:rPr>
        <w:t>__</w:t>
      </w:r>
      <w:r w:rsidR="00974AC5">
        <w:rPr>
          <w:b/>
          <w:bCs/>
          <w:szCs w:val="22"/>
          <w:u w:val="single"/>
        </w:rPr>
        <w:t>Boone County Schools</w:t>
      </w:r>
      <w:r w:rsidRPr="00E24BD8">
        <w:rPr>
          <w:b/>
          <w:bCs/>
          <w:szCs w:val="22"/>
          <w:u w:val="single"/>
        </w:rPr>
        <w:t>_______________ ______________________________________</w:t>
      </w:r>
    </w:p>
    <w:p w14:paraId="1FCE00EB" w14:textId="77777777" w:rsidR="00DE59A4" w:rsidRPr="00E24BD8" w:rsidRDefault="00DE59A4" w:rsidP="00DE59A4">
      <w:pPr>
        <w:pStyle w:val="NormalWeb"/>
        <w:autoSpaceDE w:val="0"/>
        <w:autoSpaceDN w:val="0"/>
        <w:adjustRightInd w:val="0"/>
        <w:spacing w:before="120" w:beforeAutospacing="0" w:after="0" w:afterAutospacing="0"/>
        <w:rPr>
          <w:rFonts w:ascii="Times New Roman" w:hAnsi="Times New Roman" w:cs="Times New Roman"/>
          <w:szCs w:val="22"/>
        </w:rPr>
      </w:pPr>
      <w:r w:rsidRPr="00E24BD8">
        <w:rPr>
          <w:rFonts w:ascii="Times New Roman" w:hAnsi="Times New Roman" w:cs="Times New Roman"/>
          <w:b/>
          <w:bCs/>
          <w:szCs w:val="22"/>
        </w:rPr>
        <w:t>School District</w:t>
      </w:r>
    </w:p>
    <w:p w14:paraId="2731D6F4" w14:textId="31C4EA50" w:rsidR="00DE59A4" w:rsidRPr="00974AC5" w:rsidRDefault="00DE59A4" w:rsidP="00DE59A4">
      <w:pPr>
        <w:autoSpaceDE w:val="0"/>
        <w:autoSpaceDN w:val="0"/>
        <w:adjustRightInd w:val="0"/>
        <w:rPr>
          <w:szCs w:val="22"/>
        </w:rPr>
      </w:pPr>
      <w:r w:rsidRPr="00E24BD8">
        <w:rPr>
          <w:b/>
          <w:bCs/>
          <w:szCs w:val="22"/>
          <w:u w:val="single"/>
        </w:rPr>
        <w:t>______</w:t>
      </w:r>
      <w:bookmarkStart w:id="0" w:name="_GoBack"/>
      <w:bookmarkEnd w:id="0"/>
      <w:r w:rsidRPr="00E24BD8">
        <w:rPr>
          <w:b/>
          <w:bCs/>
          <w:szCs w:val="22"/>
          <w:u w:val="single"/>
        </w:rPr>
        <w:t>_____</w:t>
      </w:r>
      <w:r w:rsidR="00974AC5">
        <w:rPr>
          <w:noProof/>
          <w:szCs w:val="22"/>
        </w:rPr>
        <w:drawing>
          <wp:inline distT="0" distB="0" distL="0" distR="0" wp14:anchorId="36CDCBD2" wp14:editId="10110465">
            <wp:extent cx="1767840" cy="341858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's signature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23" cy="3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BD8">
        <w:rPr>
          <w:b/>
          <w:bCs/>
          <w:szCs w:val="22"/>
          <w:u w:val="single"/>
        </w:rPr>
        <w:t>_____________________________________</w:t>
      </w:r>
    </w:p>
    <w:p w14:paraId="3E101CF1" w14:textId="77777777" w:rsidR="00DE59A4" w:rsidRPr="00E24BD8" w:rsidRDefault="00DE59A4" w:rsidP="00DE59A4">
      <w:pPr>
        <w:pStyle w:val="Heading1"/>
        <w:spacing w:before="120"/>
        <w:rPr>
          <w:szCs w:val="22"/>
        </w:rPr>
      </w:pPr>
      <w:r w:rsidRPr="00E24BD8">
        <w:rPr>
          <w:szCs w:val="22"/>
        </w:rPr>
        <w:t>Electronic Signature or Signed Signature of Superintendent</w:t>
      </w:r>
    </w:p>
    <w:p w14:paraId="0B331C46" w14:textId="77777777" w:rsidR="00DE59A4" w:rsidRPr="00E24BD8" w:rsidRDefault="00DE59A4" w:rsidP="00DE59A4">
      <w:pPr>
        <w:autoSpaceDE w:val="0"/>
        <w:autoSpaceDN w:val="0"/>
        <w:adjustRightInd w:val="0"/>
        <w:rPr>
          <w:szCs w:val="22"/>
        </w:rPr>
      </w:pPr>
    </w:p>
    <w:p w14:paraId="42D07149" w14:textId="1D60F162" w:rsidR="00DE59A4" w:rsidRPr="00E24BD8" w:rsidRDefault="00DE59A4" w:rsidP="00DE59A4">
      <w:pPr>
        <w:autoSpaceDE w:val="0"/>
        <w:autoSpaceDN w:val="0"/>
        <w:adjustRightInd w:val="0"/>
        <w:rPr>
          <w:b/>
          <w:bCs/>
          <w:szCs w:val="22"/>
        </w:rPr>
      </w:pPr>
      <w:r w:rsidRPr="00E24BD8">
        <w:rPr>
          <w:b/>
          <w:bCs/>
          <w:szCs w:val="22"/>
          <w:u w:val="single"/>
        </w:rPr>
        <w:t>______</w:t>
      </w:r>
      <w:r w:rsidR="00974AC5">
        <w:rPr>
          <w:b/>
          <w:bCs/>
          <w:szCs w:val="22"/>
          <w:u w:val="single"/>
        </w:rPr>
        <w:t>9/3/20</w:t>
      </w:r>
      <w:r w:rsidRPr="00E24BD8">
        <w:rPr>
          <w:b/>
          <w:bCs/>
          <w:szCs w:val="22"/>
          <w:u w:val="single"/>
        </w:rPr>
        <w:t xml:space="preserve">_______________________________ </w:t>
      </w:r>
    </w:p>
    <w:p w14:paraId="5196DEC7" w14:textId="644EA972" w:rsidR="00DE59A4" w:rsidRPr="00E24BD8" w:rsidRDefault="00DE59A4" w:rsidP="00DE59A4">
      <w:pPr>
        <w:pStyle w:val="Heading1"/>
        <w:spacing w:before="120"/>
        <w:rPr>
          <w:szCs w:val="22"/>
        </w:rPr>
      </w:pPr>
      <w:r w:rsidRPr="00E24BD8">
        <w:rPr>
          <w:szCs w:val="22"/>
        </w:rPr>
        <w:t>Date Signed</w:t>
      </w:r>
      <w:r w:rsidR="002C01DC" w:rsidRPr="00E24BD8">
        <w:rPr>
          <w:szCs w:val="22"/>
        </w:rPr>
        <w:t>*</w:t>
      </w:r>
    </w:p>
    <w:p w14:paraId="677BAA2D" w14:textId="77777777" w:rsidR="003335F1" w:rsidRDefault="003335F1" w:rsidP="003335F1">
      <w:pPr>
        <w:rPr>
          <w:sz w:val="22"/>
          <w:szCs w:val="22"/>
        </w:rPr>
      </w:pPr>
    </w:p>
    <w:p w14:paraId="56985E00" w14:textId="77777777" w:rsidR="002C01DC" w:rsidRDefault="002C01DC" w:rsidP="003335F1">
      <w:pPr>
        <w:rPr>
          <w:sz w:val="22"/>
          <w:szCs w:val="22"/>
        </w:rPr>
      </w:pPr>
    </w:p>
    <w:p w14:paraId="258FF204" w14:textId="16CF74E9" w:rsidR="005E4B23" w:rsidRPr="002C01DC" w:rsidRDefault="002C01DC">
      <w:pPr>
        <w:rPr>
          <w:sz w:val="18"/>
          <w:szCs w:val="22"/>
        </w:rPr>
      </w:pPr>
      <w:r w:rsidRPr="002C01DC">
        <w:rPr>
          <w:sz w:val="18"/>
          <w:szCs w:val="22"/>
        </w:rPr>
        <w:t>*</w:t>
      </w:r>
      <w:r w:rsidR="003335F1" w:rsidRPr="002C01DC">
        <w:rPr>
          <w:sz w:val="18"/>
          <w:szCs w:val="22"/>
        </w:rPr>
        <w:t xml:space="preserve">This certification must be received by the KDE on or before </w:t>
      </w:r>
      <w:r w:rsidR="003335F1" w:rsidRPr="002C01DC">
        <w:rPr>
          <w:b/>
          <w:bCs/>
          <w:sz w:val="18"/>
          <w:szCs w:val="22"/>
        </w:rPr>
        <w:t>October 1, 20</w:t>
      </w:r>
      <w:r w:rsidR="009F020F">
        <w:rPr>
          <w:b/>
          <w:bCs/>
          <w:sz w:val="18"/>
          <w:szCs w:val="22"/>
        </w:rPr>
        <w:t>20</w:t>
      </w:r>
      <w:r w:rsidR="003335F1" w:rsidRPr="002C01DC">
        <w:rPr>
          <w:b/>
          <w:bCs/>
          <w:sz w:val="18"/>
          <w:szCs w:val="22"/>
        </w:rPr>
        <w:t>.</w:t>
      </w:r>
      <w:r w:rsidR="003335F1" w:rsidRPr="002C01DC">
        <w:rPr>
          <w:sz w:val="18"/>
          <w:szCs w:val="22"/>
        </w:rPr>
        <w:t xml:space="preserve"> By </w:t>
      </w:r>
      <w:r w:rsidR="003335F1" w:rsidRPr="002C01DC">
        <w:rPr>
          <w:b/>
          <w:bCs/>
          <w:sz w:val="18"/>
          <w:szCs w:val="22"/>
        </w:rPr>
        <w:t>November 1, 20</w:t>
      </w:r>
      <w:r w:rsidR="009F020F">
        <w:rPr>
          <w:b/>
          <w:bCs/>
          <w:sz w:val="18"/>
          <w:szCs w:val="22"/>
        </w:rPr>
        <w:t>2</w:t>
      </w:r>
      <w:r w:rsidR="00B252AB">
        <w:rPr>
          <w:b/>
          <w:bCs/>
          <w:sz w:val="18"/>
          <w:szCs w:val="22"/>
        </w:rPr>
        <w:t>0</w:t>
      </w:r>
      <w:r w:rsidR="003335F1" w:rsidRPr="002C01DC">
        <w:rPr>
          <w:bCs/>
          <w:sz w:val="18"/>
          <w:szCs w:val="22"/>
        </w:rPr>
        <w:t>,</w:t>
      </w:r>
      <w:r w:rsidR="003335F1" w:rsidRPr="002C01DC">
        <w:rPr>
          <w:sz w:val="18"/>
          <w:szCs w:val="22"/>
        </w:rPr>
        <w:t xml:space="preserve"> the KDE is required to report to the USED a list of those LEAs that </w:t>
      </w:r>
      <w:r w:rsidR="003335F1" w:rsidRPr="002C01DC">
        <w:rPr>
          <w:sz w:val="18"/>
          <w:szCs w:val="22"/>
          <w:u w:val="single"/>
        </w:rPr>
        <w:t>have not</w:t>
      </w:r>
      <w:r w:rsidR="003335F1" w:rsidRPr="002C01DC">
        <w:rPr>
          <w:sz w:val="18"/>
          <w:szCs w:val="22"/>
        </w:rPr>
        <w:t xml:space="preserve"> filed the certification. The KDE must also report LEAs for which complaints have been filed with the KDE for non-compliance.   </w:t>
      </w:r>
    </w:p>
    <w:sectPr w:rsidR="005E4B23" w:rsidRPr="002C01DC" w:rsidSect="00C23FC1">
      <w:pgSz w:w="12240" w:h="15840" w:code="1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1711" w14:textId="77777777" w:rsidR="00E15F90" w:rsidRDefault="00E15F90" w:rsidP="003D79A8">
      <w:r>
        <w:separator/>
      </w:r>
    </w:p>
  </w:endnote>
  <w:endnote w:type="continuationSeparator" w:id="0">
    <w:p w14:paraId="17CAF2CE" w14:textId="77777777" w:rsidR="00E15F90" w:rsidRDefault="00E15F90" w:rsidP="003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8A77F" w14:textId="77777777" w:rsidR="00E15F90" w:rsidRDefault="00E15F90" w:rsidP="003D79A8">
      <w:r>
        <w:separator/>
      </w:r>
    </w:p>
  </w:footnote>
  <w:footnote w:type="continuationSeparator" w:id="0">
    <w:p w14:paraId="473EC955" w14:textId="77777777" w:rsidR="00E15F90" w:rsidRDefault="00E15F90" w:rsidP="003D79A8">
      <w:r>
        <w:continuationSeparator/>
      </w:r>
    </w:p>
  </w:footnote>
  <w:footnote w:id="1">
    <w:p w14:paraId="7F5BE12A" w14:textId="7B0462FF" w:rsidR="003D79A8" w:rsidRPr="00DE59A4" w:rsidRDefault="003D79A8">
      <w:pPr>
        <w:pStyle w:val="FootnoteText"/>
        <w:rPr>
          <w:i/>
          <w:sz w:val="18"/>
        </w:rPr>
      </w:pPr>
      <w:r w:rsidRPr="00DE59A4">
        <w:rPr>
          <w:rStyle w:val="FootnoteReference"/>
          <w:sz w:val="18"/>
        </w:rPr>
        <w:footnoteRef/>
      </w:r>
      <w:r w:rsidRPr="00DE59A4">
        <w:rPr>
          <w:sz w:val="18"/>
        </w:rPr>
        <w:t xml:space="preserve"> </w:t>
      </w:r>
      <w:r w:rsidRPr="00DE59A4">
        <w:rPr>
          <w:rStyle w:val="HTMLCite"/>
          <w:i w:val="0"/>
          <w:color w:val="030A13"/>
          <w:sz w:val="18"/>
          <w:u w:val="single"/>
        </w:rPr>
        <w:t xml:space="preserve">Tinker v. Des Moines </w:t>
      </w:r>
      <w:proofErr w:type="spellStart"/>
      <w:r w:rsidRPr="00DE59A4">
        <w:rPr>
          <w:rStyle w:val="HTMLCite"/>
          <w:i w:val="0"/>
          <w:color w:val="030A13"/>
          <w:sz w:val="18"/>
          <w:u w:val="single"/>
        </w:rPr>
        <w:t>Indep</w:t>
      </w:r>
      <w:proofErr w:type="spellEnd"/>
      <w:r w:rsidRPr="00DE59A4">
        <w:rPr>
          <w:rStyle w:val="HTMLCite"/>
          <w:i w:val="0"/>
          <w:color w:val="030A13"/>
          <w:sz w:val="18"/>
          <w:u w:val="single"/>
        </w:rPr>
        <w:t>. Community Sch. Dist.</w:t>
      </w:r>
      <w:r w:rsidRPr="00DE59A4">
        <w:rPr>
          <w:i/>
          <w:color w:val="030A13"/>
          <w:sz w:val="18"/>
        </w:rPr>
        <w:t xml:space="preserve">, </w:t>
      </w:r>
      <w:r w:rsidRPr="00DE59A4">
        <w:rPr>
          <w:color w:val="030A13"/>
          <w:sz w:val="18"/>
        </w:rPr>
        <w:t>393 U.S. 503, 506 (1969).</w:t>
      </w:r>
    </w:p>
  </w:footnote>
  <w:footnote w:id="2">
    <w:p w14:paraId="7BC94EF3" w14:textId="77777777" w:rsidR="00C23FC1" w:rsidRPr="00DE59A4" w:rsidRDefault="00C23FC1" w:rsidP="00C23FC1">
      <w:pPr>
        <w:pStyle w:val="FootnoteText"/>
        <w:rPr>
          <w:sz w:val="18"/>
        </w:rPr>
      </w:pPr>
      <w:r w:rsidRPr="00DE59A4">
        <w:rPr>
          <w:rStyle w:val="FootnoteReference"/>
          <w:sz w:val="18"/>
        </w:rPr>
        <w:footnoteRef/>
      </w:r>
      <w:r w:rsidRPr="00DE59A4">
        <w:rPr>
          <w:sz w:val="18"/>
        </w:rPr>
        <w:t xml:space="preserve"> “Guidance on Constitutionally Protected Prayer in Elementary and Secondary Schools,” U.S. Department of Education, 15 Sept. 2003, </w:t>
      </w:r>
      <w:hyperlink r:id="rId1" w:history="1">
        <w:r w:rsidRPr="00DE59A4">
          <w:rPr>
            <w:rStyle w:val="Hyperlink"/>
            <w:sz w:val="18"/>
          </w:rPr>
          <w:t>https://www2.ed.gov/policy/gen/guid/religionandschools/prayer_guidance.html</w:t>
        </w:r>
      </w:hyperlink>
      <w:r w:rsidRPr="00DE59A4">
        <w:rPr>
          <w:sz w:val="18"/>
        </w:rPr>
        <w:t xml:space="preserve">. </w:t>
      </w:r>
    </w:p>
  </w:footnote>
  <w:footnote w:id="3">
    <w:p w14:paraId="4C738EDA" w14:textId="56789004" w:rsidR="00C23FC1" w:rsidRPr="00DE59A4" w:rsidRDefault="00C23FC1">
      <w:pPr>
        <w:pStyle w:val="FootnoteText"/>
        <w:rPr>
          <w:sz w:val="18"/>
        </w:rPr>
      </w:pPr>
      <w:r w:rsidRPr="00DE59A4">
        <w:rPr>
          <w:rStyle w:val="FootnoteReference"/>
          <w:sz w:val="18"/>
        </w:rPr>
        <w:footnoteRef/>
      </w:r>
      <w:r w:rsidRPr="00DE59A4">
        <w:rPr>
          <w:sz w:val="18"/>
        </w:rPr>
        <w:t xml:space="preserve"> Id. </w:t>
      </w:r>
    </w:p>
  </w:footnote>
  <w:footnote w:id="4">
    <w:p w14:paraId="6B1D2A67" w14:textId="2571091C" w:rsidR="003B3CE1" w:rsidRPr="00DE59A4" w:rsidRDefault="003B3CE1">
      <w:pPr>
        <w:pStyle w:val="FootnoteText"/>
        <w:rPr>
          <w:sz w:val="18"/>
        </w:rPr>
      </w:pPr>
      <w:r w:rsidRPr="00DE59A4">
        <w:rPr>
          <w:rStyle w:val="FootnoteReference"/>
          <w:sz w:val="18"/>
        </w:rPr>
        <w:footnoteRef/>
      </w:r>
      <w:r w:rsidRPr="00DE59A4">
        <w:rPr>
          <w:sz w:val="18"/>
        </w:rPr>
        <w:t xml:space="preserve"> </w:t>
      </w:r>
      <w:r w:rsidRPr="00DE59A4">
        <w:rPr>
          <w:rStyle w:val="HTMLCite"/>
          <w:i w:val="0"/>
          <w:color w:val="030A13"/>
          <w:sz w:val="18"/>
          <w:u w:val="single"/>
        </w:rPr>
        <w:t xml:space="preserve">Santa Fe </w:t>
      </w:r>
      <w:proofErr w:type="spellStart"/>
      <w:r w:rsidRPr="00DE59A4">
        <w:rPr>
          <w:rStyle w:val="HTMLCite"/>
          <w:i w:val="0"/>
          <w:color w:val="030A13"/>
          <w:sz w:val="18"/>
          <w:u w:val="single"/>
        </w:rPr>
        <w:t>Indep</w:t>
      </w:r>
      <w:proofErr w:type="spellEnd"/>
      <w:r w:rsidRPr="00DE59A4">
        <w:rPr>
          <w:rStyle w:val="HTMLCite"/>
          <w:i w:val="0"/>
          <w:color w:val="030A13"/>
          <w:sz w:val="18"/>
          <w:u w:val="single"/>
        </w:rPr>
        <w:t>. Sch. Dist. v. Doe</w:t>
      </w:r>
      <w:r w:rsidRPr="00DE59A4">
        <w:rPr>
          <w:color w:val="030A13"/>
          <w:sz w:val="18"/>
        </w:rPr>
        <w:t xml:space="preserve">, 530 U.S. 290, 302 (2000) (quoting </w:t>
      </w:r>
      <w:r w:rsidRPr="00DE59A4">
        <w:rPr>
          <w:rStyle w:val="HTMLCite"/>
          <w:i w:val="0"/>
          <w:color w:val="030A13"/>
          <w:sz w:val="18"/>
          <w:u w:val="single"/>
        </w:rPr>
        <w:t xml:space="preserve">Board of Educ. v. </w:t>
      </w:r>
      <w:proofErr w:type="spellStart"/>
      <w:r w:rsidRPr="00DE59A4">
        <w:rPr>
          <w:rStyle w:val="HTMLCite"/>
          <w:i w:val="0"/>
          <w:color w:val="030A13"/>
          <w:sz w:val="18"/>
          <w:u w:val="single"/>
        </w:rPr>
        <w:t>Mergens</w:t>
      </w:r>
      <w:proofErr w:type="spellEnd"/>
      <w:r w:rsidRPr="00DE59A4">
        <w:rPr>
          <w:color w:val="030A13"/>
          <w:sz w:val="18"/>
        </w:rPr>
        <w:t>, 496 U.S. 226, 250 (1990) (plurality opinion)).</w:t>
      </w:r>
    </w:p>
  </w:footnote>
  <w:footnote w:id="5">
    <w:p w14:paraId="44C5BF9A" w14:textId="2670154D" w:rsidR="008776D8" w:rsidRPr="00DE59A4" w:rsidRDefault="008776D8">
      <w:pPr>
        <w:pStyle w:val="FootnoteText"/>
        <w:rPr>
          <w:sz w:val="18"/>
        </w:rPr>
      </w:pPr>
      <w:r w:rsidRPr="00DE59A4">
        <w:rPr>
          <w:rStyle w:val="FootnoteReference"/>
          <w:sz w:val="18"/>
        </w:rPr>
        <w:footnoteRef/>
      </w:r>
      <w:r w:rsidRPr="00DE59A4">
        <w:rPr>
          <w:sz w:val="18"/>
        </w:rPr>
        <w:t xml:space="preserve"> </w:t>
      </w:r>
      <w:r w:rsidRPr="00DE59A4">
        <w:rPr>
          <w:rStyle w:val="HTMLCite"/>
          <w:i w:val="0"/>
          <w:color w:val="030A13"/>
          <w:sz w:val="18"/>
          <w:u w:val="single"/>
        </w:rPr>
        <w:t>Engel v. Vitale</w:t>
      </w:r>
      <w:r w:rsidRPr="00DE59A4">
        <w:rPr>
          <w:color w:val="030A13"/>
          <w:sz w:val="18"/>
        </w:rPr>
        <w:t xml:space="preserve">, 370 U.S. 421 (1962) (invalidating state laws directing the use of prayer in public schools); </w:t>
      </w:r>
      <w:r w:rsidRPr="00DE59A4">
        <w:rPr>
          <w:rStyle w:val="HTMLCite"/>
          <w:i w:val="0"/>
          <w:color w:val="030A13"/>
          <w:sz w:val="18"/>
          <w:u w:val="single"/>
        </w:rPr>
        <w:t>School Dist. of Abington Twp. v. Schempp</w:t>
      </w:r>
      <w:r w:rsidRPr="00DE59A4">
        <w:rPr>
          <w:color w:val="030A13"/>
          <w:sz w:val="18"/>
        </w:rPr>
        <w:t xml:space="preserve">, 374 U.S. 203 (1963) (invalidating state laws and policies requiring public schools to begin the school day with Bible readings and prayer); </w:t>
      </w:r>
      <w:r w:rsidR="00D82344" w:rsidRPr="00DE59A4">
        <w:rPr>
          <w:rStyle w:val="HTMLCite"/>
          <w:i w:val="0"/>
          <w:color w:val="030A13"/>
          <w:sz w:val="18"/>
          <w:u w:val="single"/>
        </w:rPr>
        <w:t xml:space="preserve">Board of Educ. v. </w:t>
      </w:r>
      <w:proofErr w:type="spellStart"/>
      <w:r w:rsidR="00D82344" w:rsidRPr="00DE59A4">
        <w:rPr>
          <w:rStyle w:val="HTMLCite"/>
          <w:i w:val="0"/>
          <w:color w:val="030A13"/>
          <w:sz w:val="18"/>
          <w:u w:val="single"/>
        </w:rPr>
        <w:t>Mergens</w:t>
      </w:r>
      <w:proofErr w:type="spellEnd"/>
      <w:r w:rsidR="00D82344" w:rsidRPr="00DE59A4">
        <w:rPr>
          <w:color w:val="030A13"/>
          <w:sz w:val="18"/>
        </w:rPr>
        <w:t>, 496 U.S. 226,</w:t>
      </w:r>
      <w:r w:rsidRPr="00DE59A4">
        <w:rPr>
          <w:color w:val="030A13"/>
          <w:sz w:val="18"/>
        </w:rPr>
        <w:t xml:space="preserve"> 252</w:t>
      </w:r>
      <w:r w:rsidR="00D82344" w:rsidRPr="00DE59A4">
        <w:rPr>
          <w:color w:val="030A13"/>
          <w:sz w:val="18"/>
        </w:rPr>
        <w:t xml:space="preserve"> (1990)</w:t>
      </w:r>
      <w:r w:rsidRPr="00DE59A4">
        <w:rPr>
          <w:color w:val="030A13"/>
          <w:sz w:val="18"/>
        </w:rPr>
        <w:t xml:space="preserve"> (plurality opinion) (explaining that "a school may not itself lead or direct a religious club"). The Supreme Court has also held, however, that the study of the Bible or of religion, when presented objectively as part of a secular program of education (e.g., in history or literature classes), is consistent with the First Amendment. </w:t>
      </w:r>
      <w:r w:rsidRPr="00DE59A4">
        <w:rPr>
          <w:rStyle w:val="HTMLCite"/>
          <w:color w:val="030A13"/>
          <w:sz w:val="18"/>
        </w:rPr>
        <w:t xml:space="preserve">See </w:t>
      </w:r>
      <w:r w:rsidRPr="00DE59A4">
        <w:rPr>
          <w:rStyle w:val="HTMLCite"/>
          <w:i w:val="0"/>
          <w:color w:val="030A13"/>
          <w:sz w:val="18"/>
          <w:u w:val="single"/>
        </w:rPr>
        <w:t>Schempp</w:t>
      </w:r>
      <w:r w:rsidRPr="00DE59A4">
        <w:rPr>
          <w:color w:val="030A13"/>
          <w:sz w:val="18"/>
        </w:rPr>
        <w:t>, 374 U.S. at 225.</w:t>
      </w:r>
    </w:p>
  </w:footnote>
  <w:footnote w:id="6">
    <w:p w14:paraId="0D573613" w14:textId="745D322D" w:rsidR="0035751C" w:rsidRDefault="0035751C">
      <w:pPr>
        <w:pStyle w:val="FootnoteText"/>
      </w:pPr>
      <w:r w:rsidRPr="00DE59A4">
        <w:rPr>
          <w:rStyle w:val="FootnoteReference"/>
          <w:sz w:val="18"/>
        </w:rPr>
        <w:footnoteRef/>
      </w:r>
      <w:r w:rsidRPr="00DE59A4">
        <w:rPr>
          <w:sz w:val="18"/>
        </w:rPr>
        <w:t xml:space="preserve"> </w:t>
      </w:r>
      <w:r w:rsidR="00D82344" w:rsidRPr="00DE59A4">
        <w:rPr>
          <w:i/>
          <w:sz w:val="18"/>
          <w:u w:val="single"/>
        </w:rPr>
        <w:t>L</w:t>
      </w:r>
      <w:r w:rsidR="00D82344" w:rsidRPr="00DE59A4">
        <w:rPr>
          <w:rStyle w:val="HTMLCite"/>
          <w:i w:val="0"/>
          <w:color w:val="030A13"/>
          <w:sz w:val="18"/>
          <w:u w:val="single"/>
        </w:rPr>
        <w:t>ee v. Weisman</w:t>
      </w:r>
      <w:r w:rsidR="00D82344" w:rsidRPr="00DE59A4">
        <w:rPr>
          <w:color w:val="030A13"/>
          <w:sz w:val="18"/>
        </w:rPr>
        <w:t xml:space="preserve">, 505 U.S. 577, 599 (1992); </w:t>
      </w:r>
      <w:r w:rsidR="00D82344" w:rsidRPr="00DE59A4">
        <w:rPr>
          <w:rStyle w:val="HTMLCite"/>
          <w:color w:val="030A13"/>
          <w:sz w:val="18"/>
        </w:rPr>
        <w:t xml:space="preserve">see also </w:t>
      </w:r>
      <w:r w:rsidR="00D82344" w:rsidRPr="00DE59A4">
        <w:rPr>
          <w:rStyle w:val="HTMLCite"/>
          <w:i w:val="0"/>
          <w:color w:val="030A13"/>
          <w:sz w:val="18"/>
          <w:u w:val="single"/>
        </w:rPr>
        <w:t xml:space="preserve">Wallace v. </w:t>
      </w:r>
      <w:proofErr w:type="spellStart"/>
      <w:r w:rsidR="00D82344" w:rsidRPr="00DE59A4">
        <w:rPr>
          <w:rStyle w:val="HTMLCite"/>
          <w:i w:val="0"/>
          <w:color w:val="030A13"/>
          <w:sz w:val="18"/>
          <w:u w:val="single"/>
        </w:rPr>
        <w:t>Jaffree</w:t>
      </w:r>
      <w:proofErr w:type="spellEnd"/>
      <w:r w:rsidR="00D82344" w:rsidRPr="00DE59A4">
        <w:rPr>
          <w:color w:val="030A13"/>
          <w:sz w:val="18"/>
        </w:rPr>
        <w:t>, 472 U.S. 38 (1985).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221F"/>
    <w:multiLevelType w:val="hybridMultilevel"/>
    <w:tmpl w:val="5CD2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32"/>
    <w:rsid w:val="0000475B"/>
    <w:rsid w:val="0001192E"/>
    <w:rsid w:val="00020337"/>
    <w:rsid w:val="00076DE1"/>
    <w:rsid w:val="000A0A5E"/>
    <w:rsid w:val="000B42CB"/>
    <w:rsid w:val="000C3C90"/>
    <w:rsid w:val="000C5056"/>
    <w:rsid w:val="000D1D2D"/>
    <w:rsid w:val="000F03BB"/>
    <w:rsid w:val="00110943"/>
    <w:rsid w:val="001166F7"/>
    <w:rsid w:val="0015768F"/>
    <w:rsid w:val="00166DBE"/>
    <w:rsid w:val="00175023"/>
    <w:rsid w:val="00175E91"/>
    <w:rsid w:val="001918B8"/>
    <w:rsid w:val="001A5771"/>
    <w:rsid w:val="001C2905"/>
    <w:rsid w:val="001D491D"/>
    <w:rsid w:val="001E6D3E"/>
    <w:rsid w:val="00200617"/>
    <w:rsid w:val="0021548E"/>
    <w:rsid w:val="00224458"/>
    <w:rsid w:val="00247AB8"/>
    <w:rsid w:val="0027531D"/>
    <w:rsid w:val="002904DB"/>
    <w:rsid w:val="00291596"/>
    <w:rsid w:val="002934B0"/>
    <w:rsid w:val="002B21F4"/>
    <w:rsid w:val="002C01DC"/>
    <w:rsid w:val="002C5CB6"/>
    <w:rsid w:val="002F17DB"/>
    <w:rsid w:val="002F5DDC"/>
    <w:rsid w:val="003335F1"/>
    <w:rsid w:val="00342DCB"/>
    <w:rsid w:val="0035751C"/>
    <w:rsid w:val="00357EAA"/>
    <w:rsid w:val="00363761"/>
    <w:rsid w:val="00385BF0"/>
    <w:rsid w:val="00393AEB"/>
    <w:rsid w:val="0039758E"/>
    <w:rsid w:val="003B23BF"/>
    <w:rsid w:val="003B3CE1"/>
    <w:rsid w:val="003D79A8"/>
    <w:rsid w:val="004300FA"/>
    <w:rsid w:val="0045779E"/>
    <w:rsid w:val="0048142B"/>
    <w:rsid w:val="004824EF"/>
    <w:rsid w:val="00486EA1"/>
    <w:rsid w:val="00495C92"/>
    <w:rsid w:val="004B3C95"/>
    <w:rsid w:val="004C76D4"/>
    <w:rsid w:val="00514C49"/>
    <w:rsid w:val="005239AD"/>
    <w:rsid w:val="00525771"/>
    <w:rsid w:val="00537146"/>
    <w:rsid w:val="005437BC"/>
    <w:rsid w:val="00555099"/>
    <w:rsid w:val="005E4B23"/>
    <w:rsid w:val="00610CC0"/>
    <w:rsid w:val="006366DA"/>
    <w:rsid w:val="00647037"/>
    <w:rsid w:val="00683C86"/>
    <w:rsid w:val="006B1A8E"/>
    <w:rsid w:val="006E3DC7"/>
    <w:rsid w:val="00716EDF"/>
    <w:rsid w:val="00742974"/>
    <w:rsid w:val="007570CC"/>
    <w:rsid w:val="007A0784"/>
    <w:rsid w:val="007D41E0"/>
    <w:rsid w:val="007E4FD8"/>
    <w:rsid w:val="007E6636"/>
    <w:rsid w:val="007F4F86"/>
    <w:rsid w:val="0080458D"/>
    <w:rsid w:val="008217B6"/>
    <w:rsid w:val="0082582A"/>
    <w:rsid w:val="008454E3"/>
    <w:rsid w:val="008776D8"/>
    <w:rsid w:val="008878E7"/>
    <w:rsid w:val="00891546"/>
    <w:rsid w:val="008E3996"/>
    <w:rsid w:val="009026C0"/>
    <w:rsid w:val="00914209"/>
    <w:rsid w:val="009159EC"/>
    <w:rsid w:val="00960B45"/>
    <w:rsid w:val="00967D64"/>
    <w:rsid w:val="00974AC5"/>
    <w:rsid w:val="00976A77"/>
    <w:rsid w:val="009C5598"/>
    <w:rsid w:val="009E0E26"/>
    <w:rsid w:val="009F020F"/>
    <w:rsid w:val="00A45B6D"/>
    <w:rsid w:val="00A7007C"/>
    <w:rsid w:val="00A73775"/>
    <w:rsid w:val="00A8563E"/>
    <w:rsid w:val="00B068C6"/>
    <w:rsid w:val="00B252AB"/>
    <w:rsid w:val="00B502B5"/>
    <w:rsid w:val="00B83032"/>
    <w:rsid w:val="00B83B12"/>
    <w:rsid w:val="00B97A79"/>
    <w:rsid w:val="00BB3A5A"/>
    <w:rsid w:val="00BB3E9B"/>
    <w:rsid w:val="00BC047C"/>
    <w:rsid w:val="00BD417A"/>
    <w:rsid w:val="00BE41CC"/>
    <w:rsid w:val="00BF152D"/>
    <w:rsid w:val="00C20614"/>
    <w:rsid w:val="00C23749"/>
    <w:rsid w:val="00C23FC1"/>
    <w:rsid w:val="00C45669"/>
    <w:rsid w:val="00C46D22"/>
    <w:rsid w:val="00C55338"/>
    <w:rsid w:val="00CB194F"/>
    <w:rsid w:val="00CE7D0B"/>
    <w:rsid w:val="00CF5B8D"/>
    <w:rsid w:val="00D15F09"/>
    <w:rsid w:val="00D73260"/>
    <w:rsid w:val="00D73B5B"/>
    <w:rsid w:val="00D74746"/>
    <w:rsid w:val="00D82344"/>
    <w:rsid w:val="00D867D4"/>
    <w:rsid w:val="00D93524"/>
    <w:rsid w:val="00DE59A4"/>
    <w:rsid w:val="00E00E50"/>
    <w:rsid w:val="00E15F90"/>
    <w:rsid w:val="00E23625"/>
    <w:rsid w:val="00E24BD8"/>
    <w:rsid w:val="00E47E0B"/>
    <w:rsid w:val="00E64993"/>
    <w:rsid w:val="00EA6DAD"/>
    <w:rsid w:val="00EA71E3"/>
    <w:rsid w:val="00EE0D2D"/>
    <w:rsid w:val="00F5649F"/>
    <w:rsid w:val="00FD5D85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FF1DB"/>
  <w14:defaultImageDpi w14:val="96"/>
  <w15:docId w15:val="{1726B704-D4D7-4E5C-90CD-0C12CC57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0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056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9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9A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9A8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3D79A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23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policy/gen/guid/religionandschools/prayer_guid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9A4B0E36ED843AB2AE170881B218D" ma:contentTypeVersion="1" ma:contentTypeDescription="Create a new document." ma:contentTypeScope="" ma:versionID="c902323a4b077489bc00e40230039b64">
  <xsd:schema xmlns:xsd="http://www.w3.org/2001/XMLSchema" xmlns:xs="http://www.w3.org/2001/XMLSchema" xmlns:p="http://schemas.microsoft.com/office/2006/metadata/properties" xmlns:ns3="0c8f0254-296e-4372-984f-6d65bc80b4a1" targetNamespace="http://schemas.microsoft.com/office/2006/metadata/properties" ma:root="true" ma:fieldsID="41cd8db7806bf22df21633bd24c0b4ba" ns3:_="">
    <xsd:import namespace="0c8f0254-296e-4372-984f-6d65bc80b4a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f0254-296e-4372-984f-6d65bc80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0751-1A70-4BAE-9FB7-538C130C1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f0254-296e-4372-984f-6d65bc80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DAA77-E98D-47FE-AEB6-EBBC6F53C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B8041-8F62-45B6-A5D7-1AFC443B6C8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c8f0254-296e-4372-984f-6d65bc80b4a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45553C-9CF1-460F-A20C-DBA8D089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Superintendent,</vt:lpstr>
    </vt:vector>
  </TitlesOfParts>
  <Company>kde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Superintendent,</dc:title>
  <dc:creator>Diane Robertson</dc:creator>
  <cp:lastModifiedBy>Evans, Karen</cp:lastModifiedBy>
  <cp:revision>2</cp:revision>
  <cp:lastPrinted>2020-08-31T11:44:00Z</cp:lastPrinted>
  <dcterms:created xsi:type="dcterms:W3CDTF">2020-09-03T16:40:00Z</dcterms:created>
  <dcterms:modified xsi:type="dcterms:W3CDTF">2020-09-03T16:40:00Z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0x0101004559A4B0E36ED843AB2AE170881B218D</vt:lpwstr>
  </property>
</Properties>
</file>