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5E" w:rsidRPr="003A3EC1" w:rsidRDefault="003A3EC1" w:rsidP="003A3EC1">
      <w:pPr>
        <w:jc w:val="center"/>
        <w:rPr>
          <w:b/>
        </w:rPr>
      </w:pPr>
      <w:r w:rsidRPr="003A3EC1">
        <w:rPr>
          <w:b/>
        </w:rPr>
        <w:t>CPP Needs Assessment Data</w:t>
      </w:r>
      <w:r w:rsidR="001C23C9">
        <w:rPr>
          <w:b/>
        </w:rPr>
        <w:t xml:space="preserve"> Sheet</w:t>
      </w:r>
      <w:r w:rsidRPr="003A3EC1">
        <w:rPr>
          <w:b/>
        </w:rPr>
        <w:br/>
      </w:r>
      <w:r w:rsidR="009E028E">
        <w:rPr>
          <w:b/>
          <w:sz w:val="32"/>
          <w:szCs w:val="32"/>
        </w:rPr>
        <w:t>YSC</w:t>
      </w:r>
      <w:r>
        <w:rPr>
          <w:b/>
          <w:sz w:val="32"/>
          <w:szCs w:val="32"/>
        </w:rPr>
        <w:t xml:space="preserve"> </w:t>
      </w:r>
      <w:r w:rsidR="001C23C9">
        <w:rPr>
          <w:b/>
          <w:sz w:val="32"/>
          <w:szCs w:val="32"/>
        </w:rPr>
        <w:br/>
      </w:r>
      <w:r w:rsidR="009D1B1A">
        <w:rPr>
          <w:b/>
        </w:rPr>
        <w:t>2020-22</w:t>
      </w:r>
      <w:bookmarkStart w:id="0" w:name="_GoBack"/>
      <w:bookmarkEnd w:id="0"/>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717"/>
        <w:gridCol w:w="1791"/>
        <w:gridCol w:w="4068"/>
      </w:tblGrid>
      <w:tr w:rsidR="00C53E8D" w:rsidTr="00C53E8D">
        <w:tc>
          <w:tcPr>
            <w:tcW w:w="3717" w:type="dxa"/>
            <w:shd w:val="clear" w:color="auto" w:fill="auto"/>
          </w:tcPr>
          <w:p w:rsidR="00C53E8D" w:rsidRDefault="00C53E8D" w:rsidP="003A3EC1">
            <w:r>
              <w:t xml:space="preserve">School District: </w:t>
            </w:r>
          </w:p>
        </w:tc>
        <w:tc>
          <w:tcPr>
            <w:tcW w:w="1791" w:type="dxa"/>
          </w:tcPr>
          <w:p w:rsidR="00C53E8D" w:rsidRDefault="00C53E8D" w:rsidP="003A3EC1"/>
        </w:tc>
        <w:tc>
          <w:tcPr>
            <w:tcW w:w="4068" w:type="dxa"/>
            <w:shd w:val="clear" w:color="auto" w:fill="auto"/>
          </w:tcPr>
          <w:p w:rsidR="00C53E8D" w:rsidRDefault="00C53E8D" w:rsidP="003A3EC1">
            <w:r>
              <w:t>Center Name:</w:t>
            </w:r>
          </w:p>
        </w:tc>
      </w:tr>
      <w:tr w:rsidR="00C53E8D" w:rsidTr="00C53E8D">
        <w:tc>
          <w:tcPr>
            <w:tcW w:w="3717" w:type="dxa"/>
            <w:tcBorders>
              <w:bottom w:val="single" w:sz="4" w:space="0" w:color="D9D9D9" w:themeColor="background1" w:themeShade="D9"/>
            </w:tcBorders>
            <w:shd w:val="clear" w:color="auto" w:fill="000000" w:themeFill="text1"/>
          </w:tcPr>
          <w:p w:rsidR="00C53E8D" w:rsidRDefault="00C53E8D" w:rsidP="003A3EC1"/>
        </w:tc>
        <w:tc>
          <w:tcPr>
            <w:tcW w:w="1791" w:type="dxa"/>
            <w:tcBorders>
              <w:bottom w:val="single" w:sz="4" w:space="0" w:color="D9D9D9" w:themeColor="background1" w:themeShade="D9"/>
            </w:tcBorders>
            <w:shd w:val="clear" w:color="auto" w:fill="000000" w:themeFill="text1"/>
          </w:tcPr>
          <w:p w:rsidR="00C53E8D" w:rsidRDefault="00C53E8D" w:rsidP="003A3EC1"/>
        </w:tc>
        <w:tc>
          <w:tcPr>
            <w:tcW w:w="4068" w:type="dxa"/>
            <w:tcBorders>
              <w:bottom w:val="single" w:sz="4" w:space="0" w:color="D9D9D9" w:themeColor="background1" w:themeShade="D9"/>
            </w:tcBorders>
            <w:shd w:val="clear" w:color="auto" w:fill="000000" w:themeFill="text1"/>
          </w:tcPr>
          <w:p w:rsidR="00C53E8D" w:rsidRDefault="00C53E8D" w:rsidP="003A3EC1"/>
        </w:tc>
      </w:tr>
      <w:tr w:rsidR="00C53E8D" w:rsidTr="00C53E8D">
        <w:tc>
          <w:tcPr>
            <w:tcW w:w="3717" w:type="dxa"/>
            <w:shd w:val="clear" w:color="auto" w:fill="CCC0D9" w:themeFill="accent4" w:themeFillTint="66"/>
          </w:tcPr>
          <w:p w:rsidR="00C53E8D" w:rsidRPr="003A3EC1" w:rsidRDefault="00C53E8D" w:rsidP="00697D82">
            <w:pPr>
              <w:jc w:val="center"/>
              <w:rPr>
                <w:b/>
              </w:rPr>
            </w:pPr>
            <w:r w:rsidRPr="003A3EC1">
              <w:rPr>
                <w:b/>
              </w:rPr>
              <w:t>Required Data</w:t>
            </w:r>
          </w:p>
        </w:tc>
        <w:tc>
          <w:tcPr>
            <w:tcW w:w="1791" w:type="dxa"/>
            <w:shd w:val="clear" w:color="auto" w:fill="CCC0D9" w:themeFill="accent4" w:themeFillTint="66"/>
          </w:tcPr>
          <w:p w:rsidR="00C53E8D" w:rsidRPr="003A3EC1" w:rsidRDefault="00C53E8D" w:rsidP="00697D82">
            <w:pPr>
              <w:jc w:val="center"/>
              <w:rPr>
                <w:b/>
              </w:rPr>
            </w:pPr>
            <w:r>
              <w:t>Possible Sources</w:t>
            </w:r>
          </w:p>
        </w:tc>
        <w:tc>
          <w:tcPr>
            <w:tcW w:w="4068" w:type="dxa"/>
            <w:shd w:val="clear" w:color="auto" w:fill="CCC0D9" w:themeFill="accent4" w:themeFillTint="66"/>
          </w:tcPr>
          <w:p w:rsidR="00C53E8D" w:rsidRPr="003A3EC1" w:rsidRDefault="00C53E8D" w:rsidP="00697D82">
            <w:pPr>
              <w:jc w:val="center"/>
              <w:rPr>
                <w:b/>
              </w:rPr>
            </w:pPr>
            <w:r w:rsidRPr="003A3EC1">
              <w:rPr>
                <w:b/>
              </w:rPr>
              <w:t>Result</w:t>
            </w:r>
          </w:p>
        </w:tc>
      </w:tr>
      <w:tr w:rsidR="00C53E8D" w:rsidTr="00C53E8D">
        <w:tc>
          <w:tcPr>
            <w:tcW w:w="3717" w:type="dxa"/>
          </w:tcPr>
          <w:p w:rsidR="00C53E8D" w:rsidRPr="00BF7E63" w:rsidRDefault="00174027" w:rsidP="003A3EC1">
            <w:pPr>
              <w:pStyle w:val="ListParagraph"/>
              <w:numPr>
                <w:ilvl w:val="0"/>
                <w:numId w:val="1"/>
              </w:numPr>
            </w:pPr>
            <w:r w:rsidRPr="00BF7E63">
              <w:t>Average # days missed by top 10 truant students</w:t>
            </w:r>
          </w:p>
        </w:tc>
        <w:tc>
          <w:tcPr>
            <w:tcW w:w="1791" w:type="dxa"/>
          </w:tcPr>
          <w:p w:rsidR="00C53E8D" w:rsidRPr="00C53E8D" w:rsidRDefault="00BF2C58" w:rsidP="003A3EC1">
            <w:pPr>
              <w:rPr>
                <w:color w:val="A6A6A6" w:themeColor="background1" w:themeShade="A6"/>
              </w:rPr>
            </w:pPr>
            <w:r>
              <w:rPr>
                <w:color w:val="A6A6A6" w:themeColor="background1" w:themeShade="A6"/>
              </w:rPr>
              <w:t>TCMS Principal</w:t>
            </w:r>
            <w:r w:rsidR="00A00A3C">
              <w:rPr>
                <w:color w:val="A6A6A6" w:themeColor="background1" w:themeShade="A6"/>
              </w:rPr>
              <w:t>; TCCHS Guidance Counselor</w:t>
            </w:r>
          </w:p>
        </w:tc>
        <w:tc>
          <w:tcPr>
            <w:tcW w:w="4068" w:type="dxa"/>
          </w:tcPr>
          <w:p w:rsidR="00C53E8D" w:rsidRDefault="00BF2C58" w:rsidP="003A3EC1">
            <w:r>
              <w:t>TCMS Principal reported that 8 is the average of days missed by the top 10 truant students with 17 being the highest and 5 the lowest.</w:t>
            </w:r>
            <w:r w:rsidR="00A00A3C">
              <w:t xml:space="preserve">  TCCHS Guidance Counselor reported that 15 is the average number of days missed by the top 10 truant students.</w:t>
            </w:r>
          </w:p>
        </w:tc>
      </w:tr>
      <w:tr w:rsidR="00C53E8D" w:rsidTr="00C53E8D">
        <w:tc>
          <w:tcPr>
            <w:tcW w:w="3717" w:type="dxa"/>
          </w:tcPr>
          <w:p w:rsidR="00C53E8D" w:rsidRPr="00BF7E63" w:rsidRDefault="00BA0661" w:rsidP="003A3EC1">
            <w:pPr>
              <w:pStyle w:val="ListParagraph"/>
              <w:numPr>
                <w:ilvl w:val="0"/>
                <w:numId w:val="1"/>
              </w:numPr>
            </w:pPr>
            <w:r w:rsidRPr="00BF7E63">
              <w:t xml:space="preserve">Graduation </w:t>
            </w:r>
            <w:r w:rsidR="00C53E8D" w:rsidRPr="00BF7E63">
              <w:t>rates for each school served</w:t>
            </w:r>
          </w:p>
        </w:tc>
        <w:tc>
          <w:tcPr>
            <w:tcW w:w="1791" w:type="dxa"/>
          </w:tcPr>
          <w:p w:rsidR="00C53E8D" w:rsidRPr="00C53E8D" w:rsidRDefault="00C53E8D" w:rsidP="003A3EC1">
            <w:pPr>
              <w:rPr>
                <w:color w:val="A6A6A6" w:themeColor="background1" w:themeShade="A6"/>
              </w:rPr>
            </w:pPr>
            <w:r>
              <w:rPr>
                <w:color w:val="A6A6A6" w:themeColor="background1" w:themeShade="A6"/>
              </w:rPr>
              <w:t>School Report Card</w:t>
            </w:r>
            <w:r w:rsidR="00962609">
              <w:rPr>
                <w:color w:val="A6A6A6" w:themeColor="background1" w:themeShade="A6"/>
              </w:rPr>
              <w:t xml:space="preserve"> 2018-2019</w:t>
            </w:r>
          </w:p>
        </w:tc>
        <w:tc>
          <w:tcPr>
            <w:tcW w:w="4068" w:type="dxa"/>
          </w:tcPr>
          <w:p w:rsidR="00C53E8D" w:rsidRDefault="00750D6F" w:rsidP="00962609">
            <w:r>
              <w:t xml:space="preserve">95.3% is the graduation rate </w:t>
            </w:r>
            <w:r w:rsidR="00962609">
              <w:t xml:space="preserve">for </w:t>
            </w:r>
            <w:r>
              <w:t>Todd County School</w:t>
            </w:r>
            <w:r w:rsidR="00962609">
              <w:t>s</w:t>
            </w:r>
            <w:r>
              <w:t>.</w:t>
            </w:r>
            <w:r w:rsidR="00962609">
              <w:t xml:space="preserve">  49.3% of 71 graduates were at an economic disadvantage for transition readiness.</w:t>
            </w:r>
            <w:r>
              <w:t xml:space="preserve">  </w:t>
            </w:r>
          </w:p>
        </w:tc>
      </w:tr>
      <w:tr w:rsidR="00C53E8D" w:rsidTr="00C53E8D">
        <w:tc>
          <w:tcPr>
            <w:tcW w:w="3717" w:type="dxa"/>
          </w:tcPr>
          <w:p w:rsidR="00C53E8D" w:rsidRDefault="00C53E8D" w:rsidP="003A3EC1">
            <w:pPr>
              <w:pStyle w:val="ListParagraph"/>
              <w:numPr>
                <w:ilvl w:val="0"/>
                <w:numId w:val="1"/>
              </w:numPr>
            </w:pPr>
            <w:r>
              <w:t>Top 3 health issues that interfere with learning as reported by teachers and parents</w:t>
            </w:r>
          </w:p>
        </w:tc>
        <w:tc>
          <w:tcPr>
            <w:tcW w:w="1791" w:type="dxa"/>
          </w:tcPr>
          <w:p w:rsidR="00C53E8D" w:rsidRPr="00C53E8D" w:rsidRDefault="00962609" w:rsidP="00962609">
            <w:pPr>
              <w:rPr>
                <w:color w:val="A6A6A6" w:themeColor="background1" w:themeShade="A6"/>
              </w:rPr>
            </w:pPr>
            <w:r>
              <w:rPr>
                <w:color w:val="A6A6A6" w:themeColor="background1" w:themeShade="A6"/>
              </w:rPr>
              <w:t>T</w:t>
            </w:r>
            <w:r w:rsidR="00C53E8D">
              <w:rPr>
                <w:color w:val="A6A6A6" w:themeColor="background1" w:themeShade="A6"/>
              </w:rPr>
              <w:t>eacher Survey</w:t>
            </w:r>
            <w:r>
              <w:rPr>
                <w:color w:val="A6A6A6" w:themeColor="background1" w:themeShade="A6"/>
              </w:rPr>
              <w:t xml:space="preserve"> </w:t>
            </w:r>
            <w:r w:rsidR="00FA03BD">
              <w:rPr>
                <w:color w:val="A6A6A6" w:themeColor="background1" w:themeShade="A6"/>
              </w:rPr>
              <w:t xml:space="preserve"> and Parent Survey </w:t>
            </w:r>
            <w:r>
              <w:rPr>
                <w:color w:val="A6A6A6" w:themeColor="background1" w:themeShade="A6"/>
              </w:rPr>
              <w:t>Fall 2019</w:t>
            </w:r>
          </w:p>
        </w:tc>
        <w:tc>
          <w:tcPr>
            <w:tcW w:w="4068" w:type="dxa"/>
          </w:tcPr>
          <w:p w:rsidR="00C53E8D" w:rsidRDefault="00FA03BD" w:rsidP="003A3EC1">
            <w:r>
              <w:t>Out of 506 parents the top health issues that affect learning are ADD/ADHD, Asthma/allergies and Learning/Developmental Disability.  Faculty reported (out of 21) the top 3 health issues are mental health, tiredness and hunger/hygiene and sickness (ranked the same).</w:t>
            </w:r>
          </w:p>
        </w:tc>
      </w:tr>
      <w:tr w:rsidR="00C53E8D" w:rsidTr="00C53E8D">
        <w:tc>
          <w:tcPr>
            <w:tcW w:w="3717" w:type="dxa"/>
          </w:tcPr>
          <w:p w:rsidR="00C53E8D" w:rsidRDefault="00C53E8D" w:rsidP="003A3EC1">
            <w:pPr>
              <w:pStyle w:val="ListParagraph"/>
              <w:numPr>
                <w:ilvl w:val="0"/>
                <w:numId w:val="1"/>
              </w:numPr>
            </w:pPr>
            <w:r>
              <w:t># of teen pregnancies reported at your school during the previous school year</w:t>
            </w:r>
          </w:p>
        </w:tc>
        <w:tc>
          <w:tcPr>
            <w:tcW w:w="1791" w:type="dxa"/>
          </w:tcPr>
          <w:p w:rsidR="00C53E8D" w:rsidRPr="00C53E8D" w:rsidRDefault="00C53E8D" w:rsidP="003A3EC1">
            <w:pPr>
              <w:rPr>
                <w:color w:val="A6A6A6" w:themeColor="background1" w:themeShade="A6"/>
              </w:rPr>
            </w:pPr>
            <w:r>
              <w:rPr>
                <w:color w:val="A6A6A6" w:themeColor="background1" w:themeShade="A6"/>
              </w:rPr>
              <w:t>FRYSC, Guidance Counselor</w:t>
            </w:r>
          </w:p>
        </w:tc>
        <w:tc>
          <w:tcPr>
            <w:tcW w:w="4068" w:type="dxa"/>
          </w:tcPr>
          <w:p w:rsidR="00C53E8D" w:rsidRDefault="00A00A3C" w:rsidP="003A3EC1">
            <w:r>
              <w:t>During the 2019-2020</w:t>
            </w:r>
            <w:r w:rsidR="00FA03BD">
              <w:t>school year there were a total of 5 teenage pregnancy referrals made to the YSC.</w:t>
            </w:r>
          </w:p>
        </w:tc>
      </w:tr>
      <w:tr w:rsidR="00C53E8D" w:rsidTr="00C53E8D">
        <w:tc>
          <w:tcPr>
            <w:tcW w:w="3717" w:type="dxa"/>
          </w:tcPr>
          <w:p w:rsidR="00C53E8D" w:rsidRPr="00BF7E63" w:rsidRDefault="00174027" w:rsidP="003A3EC1">
            <w:pPr>
              <w:pStyle w:val="ListParagraph"/>
              <w:numPr>
                <w:ilvl w:val="0"/>
                <w:numId w:val="1"/>
              </w:numPr>
            </w:pPr>
            <w:r w:rsidRPr="00BF7E63">
              <w:t>Average # of behavior/discipline violations committed by top 10 student offenders</w:t>
            </w:r>
          </w:p>
        </w:tc>
        <w:tc>
          <w:tcPr>
            <w:tcW w:w="1791" w:type="dxa"/>
          </w:tcPr>
          <w:p w:rsidR="00C53E8D" w:rsidRPr="00C53E8D" w:rsidRDefault="00BF2C58" w:rsidP="003A3EC1">
            <w:pPr>
              <w:rPr>
                <w:color w:val="A6A6A6" w:themeColor="background1" w:themeShade="A6"/>
              </w:rPr>
            </w:pPr>
            <w:r>
              <w:rPr>
                <w:color w:val="A6A6A6" w:themeColor="background1" w:themeShade="A6"/>
              </w:rPr>
              <w:t>PBIS, TCMS Principal</w:t>
            </w:r>
            <w:r w:rsidR="00A00A3C">
              <w:rPr>
                <w:color w:val="A6A6A6" w:themeColor="background1" w:themeShade="A6"/>
              </w:rPr>
              <w:t xml:space="preserve"> and TCCHS Guidance Counselor</w:t>
            </w:r>
          </w:p>
        </w:tc>
        <w:tc>
          <w:tcPr>
            <w:tcW w:w="4068" w:type="dxa"/>
          </w:tcPr>
          <w:p w:rsidR="00C53E8D" w:rsidRDefault="00BF2C58" w:rsidP="003A3EC1">
            <w:r>
              <w:t>TCMS Principal reported that the average number of behavior/discipline violations committed by the top 10 students is 7.5% with two having 10 each and two having 5 each and many in between.</w:t>
            </w:r>
            <w:r w:rsidR="00A00A3C">
              <w:t xml:space="preserve">  TCCHS Guidance Counselor reported that 8 is the average number of behavior/discipline violations committed by the top 10 student offenders at the high school level.</w:t>
            </w:r>
          </w:p>
        </w:tc>
      </w:tr>
      <w:tr w:rsidR="00C53E8D" w:rsidTr="00C53E8D">
        <w:tc>
          <w:tcPr>
            <w:tcW w:w="3717" w:type="dxa"/>
          </w:tcPr>
          <w:p w:rsidR="00C53E8D" w:rsidRDefault="00C53E8D" w:rsidP="003A3EC1">
            <w:pPr>
              <w:pStyle w:val="ListParagraph"/>
              <w:numPr>
                <w:ilvl w:val="0"/>
                <w:numId w:val="1"/>
              </w:numPr>
            </w:pPr>
            <w:r>
              <w:t>Top 3 social/emotional issues as reported by staff and students</w:t>
            </w:r>
          </w:p>
        </w:tc>
        <w:tc>
          <w:tcPr>
            <w:tcW w:w="1791" w:type="dxa"/>
          </w:tcPr>
          <w:p w:rsidR="00C53E8D" w:rsidRPr="00C53E8D" w:rsidRDefault="00FA03BD" w:rsidP="003A3EC1">
            <w:pPr>
              <w:rPr>
                <w:color w:val="A6A6A6" w:themeColor="background1" w:themeShade="A6"/>
              </w:rPr>
            </w:pPr>
            <w:r>
              <w:rPr>
                <w:color w:val="A6A6A6" w:themeColor="background1" w:themeShade="A6"/>
              </w:rPr>
              <w:t>Faculty Survey Fall 2019</w:t>
            </w:r>
          </w:p>
        </w:tc>
        <w:tc>
          <w:tcPr>
            <w:tcW w:w="4068" w:type="dxa"/>
          </w:tcPr>
          <w:p w:rsidR="00C53E8D" w:rsidRDefault="00FA03BD" w:rsidP="003A3EC1">
            <w:r>
              <w:t>28 staff members reported that the top 3 social/emotional issues that interfere with student learning are an unstable home</w:t>
            </w:r>
            <w:r w:rsidR="00A00A3C">
              <w:t>-</w:t>
            </w:r>
            <w:r>
              <w:t>life, students don’t know how to properly handle conflict, and inappropriate use of cell phones/technology.</w:t>
            </w:r>
          </w:p>
        </w:tc>
      </w:tr>
      <w:tr w:rsidR="00C53E8D" w:rsidTr="00C53E8D">
        <w:tc>
          <w:tcPr>
            <w:tcW w:w="3717" w:type="dxa"/>
          </w:tcPr>
          <w:p w:rsidR="00C53E8D" w:rsidRDefault="00BA0661" w:rsidP="003A3EC1">
            <w:pPr>
              <w:pStyle w:val="ListParagraph"/>
              <w:numPr>
                <w:ilvl w:val="0"/>
                <w:numId w:val="1"/>
              </w:numPr>
            </w:pPr>
            <w:r>
              <w:t xml:space="preserve">% </w:t>
            </w:r>
            <w:r w:rsidR="00C53E8D">
              <w:t>of students reporting use of alcohol? Tobacco? Other drugs?</w:t>
            </w:r>
          </w:p>
        </w:tc>
        <w:tc>
          <w:tcPr>
            <w:tcW w:w="1791" w:type="dxa"/>
          </w:tcPr>
          <w:p w:rsidR="00C53E8D" w:rsidRPr="00C53E8D" w:rsidRDefault="00C53E8D" w:rsidP="00351124">
            <w:pPr>
              <w:rPr>
                <w:color w:val="A6A6A6" w:themeColor="background1" w:themeShade="A6"/>
              </w:rPr>
            </w:pPr>
            <w:r>
              <w:rPr>
                <w:color w:val="A6A6A6" w:themeColor="background1" w:themeShade="A6"/>
              </w:rPr>
              <w:t>KIP Survey</w:t>
            </w:r>
            <w:r w:rsidR="00351124">
              <w:rPr>
                <w:color w:val="A6A6A6" w:themeColor="background1" w:themeShade="A6"/>
              </w:rPr>
              <w:t xml:space="preserve"> 2018</w:t>
            </w:r>
          </w:p>
        </w:tc>
        <w:tc>
          <w:tcPr>
            <w:tcW w:w="4068" w:type="dxa"/>
          </w:tcPr>
          <w:p w:rsidR="00C53E8D" w:rsidRDefault="00351124" w:rsidP="00351124">
            <w:r>
              <w:t>KIP 2018 Survey reported the following for Todd County students: 30 day alcohol usage for 10</w:t>
            </w:r>
            <w:r w:rsidRPr="00351124">
              <w:rPr>
                <w:vertAlign w:val="superscript"/>
              </w:rPr>
              <w:t>th</w:t>
            </w:r>
            <w:r>
              <w:t>-22%, 12th-21%; 30 day cigarette usage for 8</w:t>
            </w:r>
            <w:r w:rsidRPr="00351124">
              <w:rPr>
                <w:vertAlign w:val="superscript"/>
              </w:rPr>
              <w:t>th</w:t>
            </w:r>
            <w:r>
              <w:t>-13%, 10</w:t>
            </w:r>
            <w:r w:rsidRPr="00351124">
              <w:rPr>
                <w:vertAlign w:val="superscript"/>
              </w:rPr>
              <w:t>th</w:t>
            </w:r>
            <w:r>
              <w:t>-20%, 12</w:t>
            </w:r>
            <w:r w:rsidRPr="00351124">
              <w:rPr>
                <w:vertAlign w:val="superscript"/>
              </w:rPr>
              <w:t>th</w:t>
            </w:r>
            <w:r>
              <w:t>-15%; 30 day smokeless tobacco for 10</w:t>
            </w:r>
            <w:r w:rsidRPr="00351124">
              <w:rPr>
                <w:vertAlign w:val="superscript"/>
              </w:rPr>
              <w:t>th</w:t>
            </w:r>
            <w:r>
              <w:t>-13.4%, 12</w:t>
            </w:r>
            <w:r w:rsidRPr="00351124">
              <w:rPr>
                <w:vertAlign w:val="superscript"/>
              </w:rPr>
              <w:t>th</w:t>
            </w:r>
            <w:r>
              <w:t>-11.4%; 30 day marijuana usage for 10</w:t>
            </w:r>
            <w:r w:rsidRPr="00351124">
              <w:rPr>
                <w:vertAlign w:val="superscript"/>
              </w:rPr>
              <w:t>th</w:t>
            </w:r>
            <w:r>
              <w:t>-11.8%, 12</w:t>
            </w:r>
            <w:r w:rsidRPr="00351124">
              <w:rPr>
                <w:vertAlign w:val="superscript"/>
              </w:rPr>
              <w:t>th</w:t>
            </w:r>
            <w:r>
              <w:t>-17%; 30 day prescription drugs usage for 10</w:t>
            </w:r>
            <w:r w:rsidRPr="00351124">
              <w:rPr>
                <w:vertAlign w:val="superscript"/>
              </w:rPr>
              <w:t>th</w:t>
            </w:r>
            <w:r>
              <w:t xml:space="preserve">-6.5%, </w:t>
            </w:r>
            <w:r>
              <w:lastRenderedPageBreak/>
              <w:t>12</w:t>
            </w:r>
            <w:r w:rsidRPr="00351124">
              <w:rPr>
                <w:vertAlign w:val="superscript"/>
              </w:rPr>
              <w:t>th</w:t>
            </w:r>
            <w:r>
              <w:t>-3.8% and E-cigs for 8</w:t>
            </w:r>
            <w:r w:rsidRPr="00351124">
              <w:rPr>
                <w:vertAlign w:val="superscript"/>
              </w:rPr>
              <w:t>th</w:t>
            </w:r>
            <w:r>
              <w:t>-21.8%, 10</w:t>
            </w:r>
            <w:r w:rsidRPr="00351124">
              <w:rPr>
                <w:vertAlign w:val="superscript"/>
              </w:rPr>
              <w:t>th</w:t>
            </w:r>
            <w:r>
              <w:t>-37.9% and 12</w:t>
            </w:r>
            <w:r w:rsidRPr="00351124">
              <w:rPr>
                <w:vertAlign w:val="superscript"/>
              </w:rPr>
              <w:t>th</w:t>
            </w:r>
            <w:r>
              <w:t xml:space="preserve">-25%. </w:t>
            </w:r>
          </w:p>
        </w:tc>
      </w:tr>
      <w:tr w:rsidR="00C53E8D" w:rsidTr="00C53E8D">
        <w:tc>
          <w:tcPr>
            <w:tcW w:w="3717" w:type="dxa"/>
          </w:tcPr>
          <w:p w:rsidR="00C53E8D" w:rsidRDefault="00C53E8D" w:rsidP="003A3EC1">
            <w:pPr>
              <w:pStyle w:val="ListParagraph"/>
              <w:numPr>
                <w:ilvl w:val="0"/>
                <w:numId w:val="1"/>
              </w:numPr>
            </w:pPr>
            <w:r>
              <w:lastRenderedPageBreak/>
              <w:t>Percentage of students who are college and career ready</w:t>
            </w:r>
          </w:p>
        </w:tc>
        <w:tc>
          <w:tcPr>
            <w:tcW w:w="1791" w:type="dxa"/>
          </w:tcPr>
          <w:p w:rsidR="00C53E8D" w:rsidRPr="00C53E8D" w:rsidRDefault="00401B43" w:rsidP="003A3EC1">
            <w:pPr>
              <w:rPr>
                <w:color w:val="A6A6A6" w:themeColor="background1" w:themeShade="A6"/>
              </w:rPr>
            </w:pPr>
            <w:r>
              <w:rPr>
                <w:color w:val="A6A6A6" w:themeColor="background1" w:themeShade="A6"/>
              </w:rPr>
              <w:t>School Report Card</w:t>
            </w:r>
            <w:r w:rsidR="005D3521">
              <w:rPr>
                <w:color w:val="A6A6A6" w:themeColor="background1" w:themeShade="A6"/>
              </w:rPr>
              <w:t xml:space="preserve"> 2018-2019</w:t>
            </w:r>
          </w:p>
        </w:tc>
        <w:tc>
          <w:tcPr>
            <w:tcW w:w="4068" w:type="dxa"/>
          </w:tcPr>
          <w:p w:rsidR="00C53E8D" w:rsidRDefault="005D3521" w:rsidP="003A3EC1">
            <w:r w:rsidRPr="008F2F7A">
              <w:rPr>
                <w:rFonts w:ascii="Calibri" w:eastAsia="Times New Roman" w:hAnsi="Calibri" w:cs="Segoe UI"/>
              </w:rPr>
              <w:t>The graduation rate for Todd County 95.3%with 28.57% being college ready, 3.76% ready for military, 16.54% working and 29.32% work/college ready.  An estimated 47% out of 126 students reported to be career ready with more than one indicator.</w:t>
            </w:r>
          </w:p>
        </w:tc>
      </w:tr>
      <w:tr w:rsidR="00C53E8D" w:rsidTr="00C53E8D">
        <w:tc>
          <w:tcPr>
            <w:tcW w:w="3717" w:type="dxa"/>
          </w:tcPr>
          <w:p w:rsidR="00C53E8D" w:rsidRDefault="00401B43" w:rsidP="00BA0661">
            <w:pPr>
              <w:pStyle w:val="ListParagraph"/>
              <w:numPr>
                <w:ilvl w:val="0"/>
                <w:numId w:val="1"/>
              </w:numPr>
            </w:pPr>
            <w:r>
              <w:t xml:space="preserve">(HIGH SCHOOL ONLY) </w:t>
            </w:r>
            <w:r w:rsidR="00BA0661">
              <w:t>%</w:t>
            </w:r>
            <w:r w:rsidR="00C53E8D">
              <w:t xml:space="preserve"> of students confident in their job application, resume-writing and/or interviewing skills?  College application skills?</w:t>
            </w:r>
            <w:r>
              <w:t xml:space="preserve"> </w:t>
            </w:r>
          </w:p>
        </w:tc>
        <w:tc>
          <w:tcPr>
            <w:tcW w:w="1791" w:type="dxa"/>
          </w:tcPr>
          <w:p w:rsidR="00C53E8D" w:rsidRPr="00C53E8D" w:rsidRDefault="0010097B" w:rsidP="003A3EC1">
            <w:pPr>
              <w:rPr>
                <w:color w:val="A6A6A6" w:themeColor="background1" w:themeShade="A6"/>
              </w:rPr>
            </w:pPr>
            <w:r>
              <w:rPr>
                <w:color w:val="A6A6A6" w:themeColor="background1" w:themeShade="A6"/>
              </w:rPr>
              <w:t>Student</w:t>
            </w:r>
            <w:r w:rsidR="00401B43">
              <w:rPr>
                <w:color w:val="A6A6A6" w:themeColor="background1" w:themeShade="A6"/>
              </w:rPr>
              <w:t xml:space="preserve"> Survey</w:t>
            </w:r>
            <w:r w:rsidR="009B6431">
              <w:rPr>
                <w:color w:val="A6A6A6" w:themeColor="background1" w:themeShade="A6"/>
              </w:rPr>
              <w:t xml:space="preserve"> Fall 2019</w:t>
            </w:r>
          </w:p>
        </w:tc>
        <w:tc>
          <w:tcPr>
            <w:tcW w:w="4068" w:type="dxa"/>
          </w:tcPr>
          <w:p w:rsidR="00C53E8D" w:rsidRDefault="009B6431" w:rsidP="003A3EC1">
            <w:r>
              <w:t>45% of students reported that they feel somewhat confident in their job application, resume-writing and/or interviewing skills. The same percentage reported for their ability to apply to college as well.</w:t>
            </w:r>
          </w:p>
        </w:tc>
      </w:tr>
      <w:tr w:rsidR="00C53E8D" w:rsidTr="00C53E8D">
        <w:tc>
          <w:tcPr>
            <w:tcW w:w="3717" w:type="dxa"/>
          </w:tcPr>
          <w:p w:rsidR="00C53E8D" w:rsidRDefault="00CB6A82" w:rsidP="00BF7E63">
            <w:pPr>
              <w:pStyle w:val="ListParagraph"/>
              <w:numPr>
                <w:ilvl w:val="0"/>
                <w:numId w:val="1"/>
              </w:numPr>
            </w:pPr>
            <w:r>
              <w:t xml:space="preserve">Top 3 things students feel </w:t>
            </w:r>
            <w:r w:rsidR="00174027" w:rsidRPr="00BF7E63">
              <w:t xml:space="preserve">would help them decide </w:t>
            </w:r>
            <w:r>
              <w:t>their future career and/or college plans</w:t>
            </w:r>
          </w:p>
        </w:tc>
        <w:tc>
          <w:tcPr>
            <w:tcW w:w="1791" w:type="dxa"/>
          </w:tcPr>
          <w:p w:rsidR="00C53E8D" w:rsidRPr="00C53E8D" w:rsidRDefault="00CB6A82" w:rsidP="003A3EC1">
            <w:pPr>
              <w:rPr>
                <w:color w:val="A6A6A6" w:themeColor="background1" w:themeShade="A6"/>
              </w:rPr>
            </w:pPr>
            <w:r>
              <w:rPr>
                <w:color w:val="A6A6A6" w:themeColor="background1" w:themeShade="A6"/>
              </w:rPr>
              <w:t>Student survey</w:t>
            </w:r>
            <w:r w:rsidR="009B6431">
              <w:rPr>
                <w:color w:val="A6A6A6" w:themeColor="background1" w:themeShade="A6"/>
              </w:rPr>
              <w:t xml:space="preserve"> Fall 2019</w:t>
            </w:r>
          </w:p>
        </w:tc>
        <w:tc>
          <w:tcPr>
            <w:tcW w:w="4068" w:type="dxa"/>
          </w:tcPr>
          <w:p w:rsidR="00C53E8D" w:rsidRDefault="009B6431" w:rsidP="00A80392">
            <w:r>
              <w:t>The top three things that students feel would help them decide on their future career/college plans are as follows (out of 508)</w:t>
            </w:r>
            <w:r w:rsidR="00A80392">
              <w:t xml:space="preserve">: 200 students reported that having knowledge about colleges and what they offer would be helpful; another 200 said knowledge about careers available would be helpful; and lastly, other students reported that they feel like they need direction to help them decide their future because it is often unknown. </w:t>
            </w:r>
          </w:p>
        </w:tc>
      </w:tr>
      <w:tr w:rsidR="00C53E8D" w:rsidTr="00C53E8D">
        <w:tc>
          <w:tcPr>
            <w:tcW w:w="3717" w:type="dxa"/>
          </w:tcPr>
          <w:p w:rsidR="00C53E8D" w:rsidRDefault="00C53E8D" w:rsidP="003A3EC1">
            <w:pPr>
              <w:pStyle w:val="ListParagraph"/>
              <w:numPr>
                <w:ilvl w:val="0"/>
                <w:numId w:val="1"/>
              </w:numPr>
            </w:pPr>
            <w:r>
              <w:t>What are the biggest academic needs for your school according to the most recent K-PREP results?</w:t>
            </w:r>
          </w:p>
        </w:tc>
        <w:tc>
          <w:tcPr>
            <w:tcW w:w="1791" w:type="dxa"/>
          </w:tcPr>
          <w:p w:rsidR="00C53E8D" w:rsidRPr="00C53E8D" w:rsidRDefault="00BF2C58" w:rsidP="00BF2C58">
            <w:pPr>
              <w:rPr>
                <w:color w:val="A6A6A6" w:themeColor="background1" w:themeShade="A6"/>
              </w:rPr>
            </w:pPr>
            <w:r>
              <w:rPr>
                <w:color w:val="A6A6A6" w:themeColor="background1" w:themeShade="A6"/>
              </w:rPr>
              <w:t>Principals at TCMS</w:t>
            </w:r>
            <w:r w:rsidR="00A00A3C">
              <w:rPr>
                <w:color w:val="A6A6A6" w:themeColor="background1" w:themeShade="A6"/>
              </w:rPr>
              <w:t xml:space="preserve"> and TCCHS Guidance Counselor</w:t>
            </w:r>
          </w:p>
        </w:tc>
        <w:tc>
          <w:tcPr>
            <w:tcW w:w="4068" w:type="dxa"/>
          </w:tcPr>
          <w:p w:rsidR="00C53E8D" w:rsidRDefault="00BF2C58" w:rsidP="00A00A3C">
            <w:pPr>
              <w:pStyle w:val="NormalWeb"/>
            </w:pPr>
            <w:r>
              <w:rPr>
                <w:rFonts w:ascii="Calibri" w:hAnsi="Calibri"/>
                <w:sz w:val="22"/>
                <w:szCs w:val="22"/>
              </w:rPr>
              <w:t xml:space="preserve">TCMS principal reported that the top academic needs according to the K-PREP results were writing being the weakest, then science, social students and math being areas of concern. </w:t>
            </w:r>
            <w:r w:rsidR="00A00A3C">
              <w:rPr>
                <w:rFonts w:ascii="Calibri" w:hAnsi="Calibri"/>
                <w:sz w:val="22"/>
                <w:szCs w:val="22"/>
              </w:rPr>
              <w:t xml:space="preserve"> TCCHS Guidance Counselor reported that the biggest academic needs are writing and science.  Our high school students have had low writing scores in the last few years according to trend data. The high school has since revamped the school wide writing policy to include cross curricula writing to give students more exposure in writing throughout school wide instruction.  With the new science standards, the high school students are being made to think more critically.  Science has become an area of concern due to this we as a school, we are working on devising a more effective plan so students can understand the material at different levels of instruction.</w:t>
            </w:r>
          </w:p>
        </w:tc>
      </w:tr>
      <w:tr w:rsidR="00C53E8D" w:rsidTr="00C53E8D">
        <w:tc>
          <w:tcPr>
            <w:tcW w:w="3717" w:type="dxa"/>
          </w:tcPr>
          <w:p w:rsidR="00C53E8D" w:rsidRDefault="00C53E8D" w:rsidP="00BA0661">
            <w:pPr>
              <w:pStyle w:val="ListParagraph"/>
              <w:numPr>
                <w:ilvl w:val="0"/>
                <w:numId w:val="1"/>
              </w:numPr>
            </w:pPr>
            <w:r>
              <w:t xml:space="preserve"> </w:t>
            </w:r>
            <w:r w:rsidR="00BA0661">
              <w:t xml:space="preserve">% </w:t>
            </w:r>
            <w:r>
              <w:t xml:space="preserve">of parents </w:t>
            </w:r>
            <w:r w:rsidR="00401B43">
              <w:t xml:space="preserve">or students </w:t>
            </w:r>
            <w:r>
              <w:t>who indicate a need for more after-school or summer enrichment?</w:t>
            </w:r>
          </w:p>
        </w:tc>
        <w:tc>
          <w:tcPr>
            <w:tcW w:w="1791" w:type="dxa"/>
          </w:tcPr>
          <w:p w:rsidR="00CB6A82" w:rsidRPr="00C53E8D" w:rsidRDefault="00CB6A82" w:rsidP="003A3EC1">
            <w:pPr>
              <w:rPr>
                <w:color w:val="A6A6A6" w:themeColor="background1" w:themeShade="A6"/>
              </w:rPr>
            </w:pPr>
            <w:r>
              <w:rPr>
                <w:color w:val="A6A6A6" w:themeColor="background1" w:themeShade="A6"/>
              </w:rPr>
              <w:t>Parent survey, student survey</w:t>
            </w:r>
            <w:r w:rsidR="00A80392">
              <w:rPr>
                <w:color w:val="A6A6A6" w:themeColor="background1" w:themeShade="A6"/>
              </w:rPr>
              <w:t xml:space="preserve"> Fall 2019</w:t>
            </w:r>
          </w:p>
        </w:tc>
        <w:tc>
          <w:tcPr>
            <w:tcW w:w="4068" w:type="dxa"/>
          </w:tcPr>
          <w:p w:rsidR="00C53E8D" w:rsidRDefault="00A80392" w:rsidP="003A3EC1">
            <w:r>
              <w:t>Out of 605 students, 47% reported that they would be interested in after-school activities and 27% reported that summer camps and summer enrichment would be ideal.</w:t>
            </w:r>
          </w:p>
        </w:tc>
      </w:tr>
      <w:tr w:rsidR="00C53E8D" w:rsidTr="00C53E8D">
        <w:tc>
          <w:tcPr>
            <w:tcW w:w="3717" w:type="dxa"/>
            <w:tcBorders>
              <w:bottom w:val="single" w:sz="4" w:space="0" w:color="D9D9D9" w:themeColor="background1" w:themeShade="D9"/>
            </w:tcBorders>
            <w:shd w:val="clear" w:color="auto" w:fill="000000" w:themeFill="text1"/>
          </w:tcPr>
          <w:p w:rsidR="00C53E8D" w:rsidRDefault="00C53E8D" w:rsidP="003A3EC1"/>
        </w:tc>
        <w:tc>
          <w:tcPr>
            <w:tcW w:w="1791" w:type="dxa"/>
            <w:tcBorders>
              <w:bottom w:val="single" w:sz="4" w:space="0" w:color="D9D9D9" w:themeColor="background1" w:themeShade="D9"/>
            </w:tcBorders>
            <w:shd w:val="clear" w:color="auto" w:fill="000000" w:themeFill="text1"/>
          </w:tcPr>
          <w:p w:rsidR="00C53E8D" w:rsidRDefault="00C53E8D" w:rsidP="003A3EC1"/>
        </w:tc>
        <w:tc>
          <w:tcPr>
            <w:tcW w:w="4068" w:type="dxa"/>
            <w:tcBorders>
              <w:bottom w:val="single" w:sz="4" w:space="0" w:color="D9D9D9" w:themeColor="background1" w:themeShade="D9"/>
            </w:tcBorders>
            <w:shd w:val="clear" w:color="auto" w:fill="000000" w:themeFill="text1"/>
          </w:tcPr>
          <w:p w:rsidR="00C53E8D" w:rsidRDefault="00C53E8D" w:rsidP="003A3EC1"/>
        </w:tc>
      </w:tr>
      <w:tr w:rsidR="00222476" w:rsidTr="00312A84">
        <w:tc>
          <w:tcPr>
            <w:tcW w:w="9576" w:type="dxa"/>
            <w:gridSpan w:val="3"/>
          </w:tcPr>
          <w:p w:rsidR="00222476" w:rsidRDefault="00222476" w:rsidP="00D47F31"/>
        </w:tc>
      </w:tr>
      <w:tr w:rsidR="00222476" w:rsidRPr="00697D82" w:rsidTr="00301A71">
        <w:trPr>
          <w:trHeight w:val="547"/>
        </w:trPr>
        <w:tc>
          <w:tcPr>
            <w:tcW w:w="9576" w:type="dxa"/>
            <w:gridSpan w:val="3"/>
            <w:shd w:val="clear" w:color="auto" w:fill="C6D9F1" w:themeFill="text2" w:themeFillTint="33"/>
          </w:tcPr>
          <w:p w:rsidR="00174027" w:rsidRDefault="00174027" w:rsidP="00174027">
            <w:pPr>
              <w:jc w:val="center"/>
              <w:rPr>
                <w:b/>
              </w:rPr>
            </w:pPr>
            <w:r w:rsidRPr="00BF7E63">
              <w:rPr>
                <w:b/>
              </w:rPr>
              <w:t>YSC</w:t>
            </w:r>
            <w:r>
              <w:rPr>
                <w:b/>
                <w:color w:val="FF0000"/>
              </w:rPr>
              <w:t xml:space="preserve"> </w:t>
            </w:r>
            <w:r w:rsidR="00222476">
              <w:rPr>
                <w:b/>
              </w:rPr>
              <w:t>Local Supporting Data</w:t>
            </w:r>
            <w:r w:rsidR="00B134A3">
              <w:rPr>
                <w:b/>
              </w:rPr>
              <w:t xml:space="preserve"> </w:t>
            </w:r>
            <w:r w:rsidRPr="00174027">
              <w:rPr>
                <w:b/>
              </w:rPr>
              <w:t xml:space="preserve"> </w:t>
            </w:r>
          </w:p>
          <w:p w:rsidR="00222476" w:rsidRPr="00697D82" w:rsidRDefault="00174027" w:rsidP="00174027">
            <w:pPr>
              <w:jc w:val="center"/>
              <w:rPr>
                <w:b/>
              </w:rPr>
            </w:pPr>
            <w:r w:rsidRPr="00174027">
              <w:rPr>
                <w:b/>
              </w:rPr>
              <w:t xml:space="preserve"> (</w:t>
            </w:r>
            <w:r>
              <w:rPr>
                <w:b/>
              </w:rPr>
              <w:t>list only data that is NOT</w:t>
            </w:r>
            <w:r w:rsidRPr="00174027">
              <w:rPr>
                <w:b/>
              </w:rPr>
              <w:t xml:space="preserve"> included above</w:t>
            </w:r>
            <w:r>
              <w:rPr>
                <w:b/>
              </w:rPr>
              <w:t>)</w:t>
            </w:r>
            <w:r w:rsidRPr="00174027">
              <w:rPr>
                <w:b/>
              </w:rPr>
              <w:t xml:space="preserve"> </w:t>
            </w:r>
          </w:p>
        </w:tc>
      </w:tr>
      <w:tr w:rsidR="00222476" w:rsidTr="00301A71">
        <w:tc>
          <w:tcPr>
            <w:tcW w:w="9576" w:type="dxa"/>
            <w:gridSpan w:val="3"/>
          </w:tcPr>
          <w:p w:rsidR="00222476" w:rsidRPr="008F2F7A" w:rsidRDefault="00222476" w:rsidP="00301A71">
            <w:pPr>
              <w:rPr>
                <w:b/>
                <w:u w:val="single"/>
              </w:rPr>
            </w:pPr>
            <w:r w:rsidRPr="008F2F7A">
              <w:rPr>
                <w:b/>
                <w:color w:val="808080" w:themeColor="background1" w:themeShade="80"/>
                <w:u w:val="single"/>
              </w:rPr>
              <w:t>SCHOOL DATA:</w:t>
            </w:r>
          </w:p>
        </w:tc>
      </w:tr>
      <w:tr w:rsidR="00222476" w:rsidTr="006C5EAA">
        <w:tc>
          <w:tcPr>
            <w:tcW w:w="9576" w:type="dxa"/>
            <w:gridSpan w:val="3"/>
            <w:shd w:val="pct10" w:color="auto" w:fill="auto"/>
          </w:tcPr>
          <w:p w:rsidR="00860C08" w:rsidRPr="008F2F7A" w:rsidRDefault="00351124" w:rsidP="00860C08">
            <w:pPr>
              <w:spacing w:after="150"/>
              <w:rPr>
                <w:rFonts w:ascii="Calibri" w:eastAsia="Times New Roman" w:hAnsi="Calibri" w:cs="Segoe UI"/>
              </w:rPr>
            </w:pPr>
            <w:r w:rsidRPr="008F2F7A">
              <w:rPr>
                <w:rFonts w:ascii="Calibri" w:eastAsia="Times New Roman" w:hAnsi="Calibri" w:cs="Segoe UI"/>
              </w:rPr>
              <w:t>School Report Card 2018-2019 data: The</w:t>
            </w:r>
            <w:r w:rsidR="00860C08" w:rsidRPr="008F2F7A">
              <w:rPr>
                <w:rFonts w:ascii="Calibri" w:eastAsia="Times New Roman" w:hAnsi="Calibri" w:cs="Segoe UI"/>
              </w:rPr>
              <w:t xml:space="preserve"> attendance </w:t>
            </w:r>
            <w:r w:rsidRPr="008F2F7A">
              <w:rPr>
                <w:rFonts w:ascii="Calibri" w:eastAsia="Times New Roman" w:hAnsi="Calibri" w:cs="Segoe UI"/>
              </w:rPr>
              <w:t>rate for Todd County was 9</w:t>
            </w:r>
            <w:r w:rsidR="00860C08" w:rsidRPr="008F2F7A">
              <w:rPr>
                <w:rFonts w:ascii="Calibri" w:eastAsia="Times New Roman" w:hAnsi="Calibri" w:cs="Segoe UI"/>
              </w:rPr>
              <w:t>4</w:t>
            </w:r>
            <w:r w:rsidRPr="008F2F7A">
              <w:rPr>
                <w:rFonts w:ascii="Calibri" w:eastAsia="Times New Roman" w:hAnsi="Calibri" w:cs="Segoe UI"/>
              </w:rPr>
              <w:t>.</w:t>
            </w:r>
            <w:r w:rsidR="00860C08" w:rsidRPr="008F2F7A">
              <w:rPr>
                <w:rFonts w:ascii="Calibri" w:eastAsia="Times New Roman" w:hAnsi="Calibri" w:cs="Segoe UI"/>
              </w:rPr>
              <w:t>2</w:t>
            </w:r>
            <w:r w:rsidRPr="008F2F7A">
              <w:rPr>
                <w:rFonts w:ascii="Calibri" w:eastAsia="Times New Roman" w:hAnsi="Calibri" w:cs="Segoe UI"/>
              </w:rPr>
              <w:t>%</w:t>
            </w:r>
            <w:r w:rsidR="00860C08" w:rsidRPr="008F2F7A">
              <w:rPr>
                <w:rFonts w:ascii="Calibri" w:eastAsia="Times New Roman" w:hAnsi="Calibri" w:cs="Segoe UI"/>
              </w:rPr>
              <w:t xml:space="preserve"> with 16.9% (325 students out of 1924) being chronically absent</w:t>
            </w:r>
            <w:r w:rsidRPr="008F2F7A">
              <w:rPr>
                <w:rFonts w:ascii="Calibri" w:eastAsia="Times New Roman" w:hAnsi="Calibri" w:cs="Segoe UI"/>
              </w:rPr>
              <w:t xml:space="preserve">. </w:t>
            </w:r>
            <w:r w:rsidR="00E56272" w:rsidRPr="008F2F7A">
              <w:rPr>
                <w:rFonts w:ascii="Calibri" w:eastAsia="Times New Roman" w:hAnsi="Calibri" w:cs="Segoe UI"/>
              </w:rPr>
              <w:t xml:space="preserve"> The </w:t>
            </w:r>
            <w:r w:rsidR="00860C08" w:rsidRPr="008F2F7A">
              <w:rPr>
                <w:rFonts w:ascii="Calibri" w:eastAsia="Times New Roman" w:hAnsi="Calibri" w:cs="Segoe UI"/>
              </w:rPr>
              <w:t>graduation</w:t>
            </w:r>
            <w:r w:rsidR="00E56272" w:rsidRPr="008F2F7A">
              <w:rPr>
                <w:rFonts w:ascii="Calibri" w:eastAsia="Times New Roman" w:hAnsi="Calibri" w:cs="Segoe UI"/>
              </w:rPr>
              <w:t xml:space="preserve"> rate for Todd County 9</w:t>
            </w:r>
            <w:r w:rsidR="00860C08" w:rsidRPr="008F2F7A">
              <w:rPr>
                <w:rFonts w:ascii="Calibri" w:eastAsia="Times New Roman" w:hAnsi="Calibri" w:cs="Segoe UI"/>
              </w:rPr>
              <w:t>5</w:t>
            </w:r>
            <w:r w:rsidR="00E56272" w:rsidRPr="008F2F7A">
              <w:rPr>
                <w:rFonts w:ascii="Calibri" w:eastAsia="Times New Roman" w:hAnsi="Calibri" w:cs="Segoe UI"/>
              </w:rPr>
              <w:t>.</w:t>
            </w:r>
            <w:r w:rsidR="00860C08" w:rsidRPr="008F2F7A">
              <w:rPr>
                <w:rFonts w:ascii="Calibri" w:eastAsia="Times New Roman" w:hAnsi="Calibri" w:cs="Segoe UI"/>
              </w:rPr>
              <w:t>3</w:t>
            </w:r>
            <w:r w:rsidR="00E56272" w:rsidRPr="008F2F7A">
              <w:rPr>
                <w:rFonts w:ascii="Calibri" w:eastAsia="Times New Roman" w:hAnsi="Calibri" w:cs="Segoe UI"/>
              </w:rPr>
              <w:t>%</w:t>
            </w:r>
            <w:r w:rsidR="00860C08" w:rsidRPr="008F2F7A">
              <w:rPr>
                <w:rFonts w:ascii="Calibri" w:eastAsia="Times New Roman" w:hAnsi="Calibri" w:cs="Segoe UI"/>
              </w:rPr>
              <w:t xml:space="preserve">with 28.57% being college ready, 3.76% ready for military, 16.54% working and 29.32% work/college ready.  An estimated 47% out of 126 students reported to be career ready with more than one indicator.  Out of 466 52.4% of Todd County Middle School students scored proficient/distinguished as compared to the state at 59.6%.  Out of 116 students 42.2% of Todd County Central High School students scored proficient/distinguished as compared to the state at 44.5%.  ACT average composite score out of 115 students </w:t>
            </w:r>
            <w:proofErr w:type="gramStart"/>
            <w:r w:rsidR="00860C08" w:rsidRPr="008F2F7A">
              <w:rPr>
                <w:rFonts w:ascii="Calibri" w:eastAsia="Times New Roman" w:hAnsi="Calibri" w:cs="Segoe UI"/>
              </w:rPr>
              <w:t>was</w:t>
            </w:r>
            <w:proofErr w:type="gramEnd"/>
            <w:r w:rsidR="00860C08" w:rsidRPr="008F2F7A">
              <w:rPr>
                <w:rFonts w:ascii="Calibri" w:eastAsia="Times New Roman" w:hAnsi="Calibri" w:cs="Segoe UI"/>
              </w:rPr>
              <w:t xml:space="preserve"> 17.7</w:t>
            </w:r>
            <w:r w:rsidR="002B44EC">
              <w:rPr>
                <w:rFonts w:ascii="Calibri" w:eastAsia="Times New Roman" w:hAnsi="Calibri" w:cs="Segoe UI"/>
              </w:rPr>
              <w:t>%</w:t>
            </w:r>
            <w:r w:rsidR="00860C08" w:rsidRPr="008F2F7A">
              <w:rPr>
                <w:rFonts w:ascii="Calibri" w:eastAsia="Times New Roman" w:hAnsi="Calibri" w:cs="Segoe UI"/>
              </w:rPr>
              <w:t xml:space="preserve"> for Todd County students as compared to the state at 19.  </w:t>
            </w:r>
          </w:p>
          <w:p w:rsidR="00222476" w:rsidRDefault="00860C08" w:rsidP="00860C08">
            <w:pPr>
              <w:spacing w:after="150"/>
            </w:pPr>
            <w:r w:rsidRPr="008F2F7A">
              <w:rPr>
                <w:rFonts w:ascii="Calibri" w:eastAsia="Times New Roman" w:hAnsi="Calibri" w:cs="Segoe UI"/>
              </w:rPr>
              <w:t xml:space="preserve">Todd County KIP Data 2018: </w:t>
            </w:r>
            <w:r w:rsidR="006C5EAA" w:rsidRPr="008F2F7A">
              <w:rPr>
                <w:rFonts w:ascii="Calibri" w:eastAsia="Times New Roman" w:hAnsi="Calibri" w:cs="Segoe UI"/>
              </w:rPr>
              <w:t xml:space="preserve"> </w:t>
            </w:r>
            <w:r w:rsidRPr="008F2F7A">
              <w:rPr>
                <w:rFonts w:ascii="Calibri" w:eastAsia="Times New Roman" w:hAnsi="Calibri" w:cs="Segoe UI"/>
              </w:rPr>
              <w:t>11.5% of 10</w:t>
            </w:r>
            <w:r w:rsidRPr="008F2F7A">
              <w:rPr>
                <w:rFonts w:ascii="Calibri" w:eastAsia="Times New Roman" w:hAnsi="Calibri" w:cs="Segoe UI"/>
                <w:vertAlign w:val="superscript"/>
              </w:rPr>
              <w:t>th</w:t>
            </w:r>
            <w:r w:rsidRPr="008F2F7A">
              <w:rPr>
                <w:rFonts w:ascii="Calibri" w:eastAsia="Times New Roman" w:hAnsi="Calibri" w:cs="Segoe UI"/>
              </w:rPr>
              <w:t xml:space="preserve"> graders and 11.3% of 12</w:t>
            </w:r>
            <w:r w:rsidRPr="008F2F7A">
              <w:rPr>
                <w:rFonts w:ascii="Calibri" w:eastAsia="Times New Roman" w:hAnsi="Calibri" w:cs="Segoe UI"/>
                <w:vertAlign w:val="superscript"/>
              </w:rPr>
              <w:t>th</w:t>
            </w:r>
            <w:r w:rsidRPr="008F2F7A">
              <w:rPr>
                <w:rFonts w:ascii="Calibri" w:eastAsia="Times New Roman" w:hAnsi="Calibri" w:cs="Segoe UI"/>
              </w:rPr>
              <w:t xml:space="preserve"> graders reported that their boyfriend/girlfriend has physically hurt them on purpose; 13.7% of 10</w:t>
            </w:r>
            <w:r w:rsidRPr="008F2F7A">
              <w:rPr>
                <w:rFonts w:ascii="Calibri" w:eastAsia="Times New Roman" w:hAnsi="Calibri" w:cs="Segoe UI"/>
                <w:vertAlign w:val="superscript"/>
              </w:rPr>
              <w:t>th</w:t>
            </w:r>
            <w:r w:rsidRPr="008F2F7A">
              <w:rPr>
                <w:rFonts w:ascii="Calibri" w:eastAsia="Times New Roman" w:hAnsi="Calibri" w:cs="Segoe UI"/>
              </w:rPr>
              <w:t xml:space="preserve"> and 15% of 12</w:t>
            </w:r>
            <w:r w:rsidRPr="008F2F7A">
              <w:rPr>
                <w:rFonts w:ascii="Calibri" w:eastAsia="Times New Roman" w:hAnsi="Calibri" w:cs="Segoe UI"/>
                <w:vertAlign w:val="superscript"/>
              </w:rPr>
              <w:t>th</w:t>
            </w:r>
            <w:r w:rsidRPr="008F2F7A">
              <w:rPr>
                <w:rFonts w:ascii="Calibri" w:eastAsia="Times New Roman" w:hAnsi="Calibri" w:cs="Segoe UI"/>
              </w:rPr>
              <w:t xml:space="preserve"> reported that their boyfriend or girlfriend has emotionally hurt them on purpose; 42.9% of 6</w:t>
            </w:r>
            <w:r w:rsidRPr="008F2F7A">
              <w:rPr>
                <w:rFonts w:ascii="Calibri" w:eastAsia="Times New Roman" w:hAnsi="Calibri" w:cs="Segoe UI"/>
                <w:vertAlign w:val="superscript"/>
              </w:rPr>
              <w:t>th</w:t>
            </w:r>
            <w:r w:rsidRPr="008F2F7A">
              <w:rPr>
                <w:rFonts w:ascii="Calibri" w:eastAsia="Times New Roman" w:hAnsi="Calibri" w:cs="Segoe UI"/>
              </w:rPr>
              <w:t xml:space="preserve"> grade, 21.8% of 8</w:t>
            </w:r>
            <w:r w:rsidRPr="008F2F7A">
              <w:rPr>
                <w:rFonts w:ascii="Calibri" w:eastAsia="Times New Roman" w:hAnsi="Calibri" w:cs="Segoe UI"/>
                <w:vertAlign w:val="superscript"/>
              </w:rPr>
              <w:t>th</w:t>
            </w:r>
            <w:r w:rsidRPr="008F2F7A">
              <w:rPr>
                <w:rFonts w:ascii="Calibri" w:eastAsia="Times New Roman" w:hAnsi="Calibri" w:cs="Segoe UI"/>
              </w:rPr>
              <w:t>, 31.3% of 10</w:t>
            </w:r>
            <w:r w:rsidRPr="008F2F7A">
              <w:rPr>
                <w:rFonts w:ascii="Calibri" w:eastAsia="Times New Roman" w:hAnsi="Calibri" w:cs="Segoe UI"/>
                <w:vertAlign w:val="superscript"/>
              </w:rPr>
              <w:t>th</w:t>
            </w:r>
            <w:r w:rsidRPr="008F2F7A">
              <w:rPr>
                <w:rFonts w:ascii="Calibri" w:eastAsia="Times New Roman" w:hAnsi="Calibri" w:cs="Segoe UI"/>
              </w:rPr>
              <w:t xml:space="preserve"> and 18.8% of 12</w:t>
            </w:r>
            <w:r w:rsidRPr="008F2F7A">
              <w:rPr>
                <w:rFonts w:ascii="Calibri" w:eastAsia="Times New Roman" w:hAnsi="Calibri" w:cs="Segoe UI"/>
                <w:vertAlign w:val="superscript"/>
              </w:rPr>
              <w:t>th</w:t>
            </w:r>
            <w:r w:rsidRPr="008F2F7A">
              <w:rPr>
                <w:rFonts w:ascii="Calibri" w:eastAsia="Times New Roman" w:hAnsi="Calibri" w:cs="Segoe UI"/>
              </w:rPr>
              <w:t xml:space="preserve"> graders reported they have been bullied on school property and 17.8% of 6</w:t>
            </w:r>
            <w:r w:rsidRPr="008F2F7A">
              <w:rPr>
                <w:rFonts w:ascii="Calibri" w:eastAsia="Times New Roman" w:hAnsi="Calibri" w:cs="Segoe UI"/>
                <w:vertAlign w:val="superscript"/>
              </w:rPr>
              <w:t>th</w:t>
            </w:r>
            <w:r w:rsidRPr="008F2F7A">
              <w:rPr>
                <w:rFonts w:ascii="Calibri" w:eastAsia="Times New Roman" w:hAnsi="Calibri" w:cs="Segoe UI"/>
              </w:rPr>
              <w:t>, 7.6% of 8</w:t>
            </w:r>
            <w:r w:rsidRPr="008F2F7A">
              <w:rPr>
                <w:rFonts w:ascii="Calibri" w:eastAsia="Times New Roman" w:hAnsi="Calibri" w:cs="Segoe UI"/>
                <w:vertAlign w:val="superscript"/>
              </w:rPr>
              <w:t>th</w:t>
            </w:r>
            <w:r w:rsidRPr="008F2F7A">
              <w:rPr>
                <w:rFonts w:ascii="Calibri" w:eastAsia="Times New Roman" w:hAnsi="Calibri" w:cs="Segoe UI"/>
              </w:rPr>
              <w:t>,16.8% of 8</w:t>
            </w:r>
            <w:r w:rsidRPr="008F2F7A">
              <w:rPr>
                <w:rFonts w:ascii="Calibri" w:eastAsia="Times New Roman" w:hAnsi="Calibri" w:cs="Segoe UI"/>
                <w:vertAlign w:val="superscript"/>
              </w:rPr>
              <w:t>th</w:t>
            </w:r>
            <w:r w:rsidRPr="008F2F7A">
              <w:rPr>
                <w:rFonts w:ascii="Calibri" w:eastAsia="Times New Roman" w:hAnsi="Calibri" w:cs="Segoe UI"/>
              </w:rPr>
              <w:t>, and 13.8% of 12</w:t>
            </w:r>
            <w:r w:rsidRPr="008F2F7A">
              <w:rPr>
                <w:rFonts w:ascii="Calibri" w:eastAsia="Times New Roman" w:hAnsi="Calibri" w:cs="Segoe UI"/>
                <w:vertAlign w:val="superscript"/>
              </w:rPr>
              <w:t>th</w:t>
            </w:r>
            <w:r w:rsidRPr="008F2F7A">
              <w:rPr>
                <w:rFonts w:ascii="Calibri" w:eastAsia="Times New Roman" w:hAnsi="Calibri" w:cs="Segoe UI"/>
              </w:rPr>
              <w:t xml:space="preserve"> have been electronically bullied within the last year.  </w:t>
            </w:r>
            <w:r w:rsidR="007142EB" w:rsidRPr="008F2F7A">
              <w:rPr>
                <w:rFonts w:ascii="Calibri" w:eastAsia="Times New Roman" w:hAnsi="Calibri" w:cs="Segoe UI"/>
              </w:rPr>
              <w:t>17.7% of 6</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14.3% of 8</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17.4% of 10</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and 15% of 12</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have been under some type of </w:t>
            </w:r>
            <w:r w:rsidR="005D3521" w:rsidRPr="008F2F7A">
              <w:rPr>
                <w:rFonts w:ascii="Calibri" w:eastAsia="Times New Roman" w:hAnsi="Calibri" w:cs="Segoe UI"/>
              </w:rPr>
              <w:t>psychological</w:t>
            </w:r>
            <w:r w:rsidR="007142EB" w:rsidRPr="008F2F7A">
              <w:rPr>
                <w:rFonts w:ascii="Calibri" w:eastAsia="Times New Roman" w:hAnsi="Calibri" w:cs="Segoe UI"/>
              </w:rPr>
              <w:t xml:space="preserve"> distress (anxiety, depression); 14.1% of 6</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12.7% of 8</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20% of 10</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and 21.3% of 12</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graders reported that they have ever harmed or but themselves on purpose; 11.7% of 6</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13.3% of 8</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16.9% of 10</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and 11.4% of 12</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graders reported that in the past year they have seriously considered attempting suicide while 7.2% of 6</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8.5% of 8</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14.6% of 10</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and 7.6% of 12</w:t>
            </w:r>
            <w:r w:rsidR="007142EB" w:rsidRPr="008F2F7A">
              <w:rPr>
                <w:rFonts w:ascii="Calibri" w:eastAsia="Times New Roman" w:hAnsi="Calibri" w:cs="Segoe UI"/>
                <w:vertAlign w:val="superscript"/>
              </w:rPr>
              <w:t>th</w:t>
            </w:r>
            <w:r w:rsidR="007142EB" w:rsidRPr="008F2F7A">
              <w:rPr>
                <w:rFonts w:ascii="Calibri" w:eastAsia="Times New Roman" w:hAnsi="Calibri" w:cs="Segoe UI"/>
              </w:rPr>
              <w:t xml:space="preserve"> actually made a plan of how they would attempt suicide.</w:t>
            </w:r>
            <w:r w:rsidR="007142EB">
              <w:rPr>
                <w:rFonts w:ascii="Calibri" w:eastAsia="Times New Roman" w:hAnsi="Calibri" w:cs="Segoe UI"/>
                <w:i/>
                <w:color w:val="FF0000"/>
                <w:sz w:val="16"/>
                <w:szCs w:val="16"/>
              </w:rPr>
              <w:t xml:space="preserve">   </w:t>
            </w:r>
            <w:r>
              <w:rPr>
                <w:rFonts w:ascii="Calibri" w:eastAsia="Times New Roman" w:hAnsi="Calibri" w:cs="Segoe UI"/>
                <w:i/>
                <w:color w:val="FF0000"/>
                <w:sz w:val="16"/>
                <w:szCs w:val="16"/>
              </w:rPr>
              <w:t xml:space="preserve"> </w:t>
            </w:r>
          </w:p>
        </w:tc>
      </w:tr>
      <w:tr w:rsidR="00222476" w:rsidTr="00301A71">
        <w:tc>
          <w:tcPr>
            <w:tcW w:w="9576" w:type="dxa"/>
            <w:gridSpan w:val="3"/>
          </w:tcPr>
          <w:p w:rsidR="00222476" w:rsidRPr="008F2F7A" w:rsidRDefault="00222476" w:rsidP="00301A71">
            <w:pPr>
              <w:rPr>
                <w:b/>
                <w:u w:val="single"/>
              </w:rPr>
            </w:pPr>
            <w:r w:rsidRPr="008F2F7A">
              <w:rPr>
                <w:b/>
                <w:color w:val="808080" w:themeColor="background1" w:themeShade="80"/>
                <w:u w:val="single"/>
              </w:rPr>
              <w:t>COUNTY/DISTRICT DATA:</w:t>
            </w:r>
          </w:p>
        </w:tc>
      </w:tr>
      <w:tr w:rsidR="00222476" w:rsidTr="00301A71">
        <w:tc>
          <w:tcPr>
            <w:tcW w:w="9576" w:type="dxa"/>
            <w:gridSpan w:val="3"/>
            <w:shd w:val="clear" w:color="auto" w:fill="D9D9D9" w:themeFill="background1" w:themeFillShade="D9"/>
          </w:tcPr>
          <w:p w:rsidR="00222476" w:rsidRDefault="00315BA1" w:rsidP="005D3521">
            <w:r>
              <w:t>As reported by the Census Bureau in July 2019, there were an est. 12,311 people living in Todd County Kentucky.  Of this population, 77.8% of people aged 25 and older received a high school diploma and 12.9% received a bachelor’s degree or higher from 2014-2018. The median household income from 2014-2018 was $41,865 and 17.1% of people were below the poverty line.  According to the Census, Todd County rank</w:t>
            </w:r>
            <w:r w:rsidR="005D3521">
              <w:t>ed</w:t>
            </w:r>
            <w:r>
              <w:t xml:space="preserve"> 10</w:t>
            </w:r>
            <w:r w:rsidRPr="00315BA1">
              <w:rPr>
                <w:vertAlign w:val="superscript"/>
              </w:rPr>
              <w:t>th</w:t>
            </w:r>
            <w:r>
              <w:t xml:space="preserve"> as having the lowest rate of </w:t>
            </w:r>
            <w:r w:rsidR="005D3521">
              <w:t xml:space="preserve">people without a </w:t>
            </w:r>
            <w:r>
              <w:t>job in Kentucky and has had the lowest rate in Western KY in the last couple of years.  Data from the 2019 KIDS Count Data book records the following: 22% of children live in poverty; 71% of 8</w:t>
            </w:r>
            <w:r w:rsidRPr="00315BA1">
              <w:rPr>
                <w:vertAlign w:val="superscript"/>
              </w:rPr>
              <w:t>th</w:t>
            </w:r>
            <w:r>
              <w:t xml:space="preserve"> graders were proficient in math and 90% of high school students graduated on time.  2014-2018 data showed that 68.3% of Todd County households had a computer and 55.1% had a broadband internet subscription.  Suicide is still the 2</w:t>
            </w:r>
            <w:r w:rsidRPr="00315BA1">
              <w:rPr>
                <w:vertAlign w:val="superscript"/>
              </w:rPr>
              <w:t>nd</w:t>
            </w:r>
            <w:r>
              <w:t xml:space="preserve"> leading cause of death for ages 10-34 in Kentucky and 4</w:t>
            </w:r>
            <w:r w:rsidRPr="00315BA1">
              <w:rPr>
                <w:vertAlign w:val="superscript"/>
              </w:rPr>
              <w:t>th</w:t>
            </w:r>
            <w:r w:rsidR="000171A2">
              <w:t xml:space="preserve"> leading among 35-44 age </w:t>
            </w:r>
            <w:proofErr w:type="gramStart"/>
            <w:r w:rsidR="000171A2">
              <w:t>group</w:t>
            </w:r>
            <w:proofErr w:type="gramEnd"/>
            <w:r w:rsidR="000171A2">
              <w:t xml:space="preserve"> (Suicide Prevention Consortium). The school system contracts with Mountain Comprehension Care Counseling, Wilson Counseling and the Pennyroyal Mental Health Centers for in school therapy each year.  There are over 30 students in our district being seen for mental health counseling and more have been referred to outside </w:t>
            </w:r>
            <w:r w:rsidR="005D3521">
              <w:t xml:space="preserve">mental health </w:t>
            </w:r>
            <w:r w:rsidR="000171A2">
              <w:t xml:space="preserve">agencies.  In the Todd County 2013 community health survey, from 624 who took the survey, 46.5% felt like good jobs and healthy economy were important, 40.1% wanted good schools and good education, 36.5% wanted access to health care, 30.8% wanted access to physical activity and 30% wanted affordable eye and dental care.  </w:t>
            </w:r>
            <w:r>
              <w:t xml:space="preserve"> </w:t>
            </w:r>
          </w:p>
        </w:tc>
      </w:tr>
      <w:tr w:rsidR="00222476" w:rsidTr="00301A71">
        <w:tc>
          <w:tcPr>
            <w:tcW w:w="9576" w:type="dxa"/>
            <w:gridSpan w:val="3"/>
          </w:tcPr>
          <w:p w:rsidR="00222476" w:rsidRPr="008F2F7A" w:rsidRDefault="00222476" w:rsidP="00301A71">
            <w:pPr>
              <w:rPr>
                <w:b/>
                <w:u w:val="single"/>
              </w:rPr>
            </w:pPr>
            <w:r w:rsidRPr="008F2F7A">
              <w:rPr>
                <w:b/>
                <w:color w:val="808080" w:themeColor="background1" w:themeShade="80"/>
                <w:u w:val="single"/>
              </w:rPr>
              <w:t>FRYSC DATA:</w:t>
            </w:r>
          </w:p>
        </w:tc>
      </w:tr>
      <w:tr w:rsidR="00222476" w:rsidTr="00222476">
        <w:tc>
          <w:tcPr>
            <w:tcW w:w="9576" w:type="dxa"/>
            <w:gridSpan w:val="3"/>
            <w:shd w:val="clear" w:color="auto" w:fill="D9D9D9" w:themeFill="background1" w:themeFillShade="D9"/>
          </w:tcPr>
          <w:p w:rsidR="00222476" w:rsidRDefault="000171A2" w:rsidP="002036E1">
            <w:r w:rsidRPr="00F8579C">
              <w:t xml:space="preserve">The Fall 2019 YSC Parent Needs Assessment for Todd County Middle School, Todd County High School and Todd County Horizons Academy indicated that the top needs for parents were the following: </w:t>
            </w:r>
            <w:r w:rsidR="005D3521">
              <w:t xml:space="preserve">to </w:t>
            </w:r>
            <w:r w:rsidR="00F8579C" w:rsidRPr="00F8579C">
              <w:t xml:space="preserve">learn about community resources, </w:t>
            </w:r>
            <w:r w:rsidR="005D3521">
              <w:t xml:space="preserve">to receive </w:t>
            </w:r>
            <w:r w:rsidR="00F8579C" w:rsidRPr="00F8579C">
              <w:t xml:space="preserve">school supply assistance and </w:t>
            </w:r>
            <w:r w:rsidR="005D3521">
              <w:t xml:space="preserve">to </w:t>
            </w:r>
            <w:r w:rsidR="00F8579C" w:rsidRPr="00F8579C">
              <w:t>learn more about job/GED prep workshops.  Parents</w:t>
            </w:r>
            <w:r w:rsidR="00E5045F">
              <w:t xml:space="preserve"> at the middle school </w:t>
            </w:r>
            <w:r w:rsidR="00F8579C" w:rsidRPr="00F8579C">
              <w:t xml:space="preserve">indicated that their children needed the following: 6.5% </w:t>
            </w:r>
            <w:r w:rsidR="005D3521">
              <w:t xml:space="preserve">of students need </w:t>
            </w:r>
            <w:r w:rsidR="00F8579C" w:rsidRPr="00F8579C">
              <w:t xml:space="preserve">info on self-esteem; 7.12% </w:t>
            </w:r>
            <w:r w:rsidR="005D3521">
              <w:t xml:space="preserve">of students need </w:t>
            </w:r>
            <w:r w:rsidR="00F8579C" w:rsidRPr="00F8579C">
              <w:t xml:space="preserve">info on diet/exercise and a 7.25% </w:t>
            </w:r>
            <w:r w:rsidR="005D3521">
              <w:t xml:space="preserve">of students need info </w:t>
            </w:r>
            <w:r w:rsidR="00F8579C" w:rsidRPr="00F8579C">
              <w:t xml:space="preserve">on </w:t>
            </w:r>
            <w:proofErr w:type="gramStart"/>
            <w:r w:rsidR="00F8579C" w:rsidRPr="00F8579C">
              <w:t>both food</w:t>
            </w:r>
            <w:proofErr w:type="gramEnd"/>
            <w:r w:rsidR="00F8579C" w:rsidRPr="00F8579C">
              <w:t>, clothing and housing as well as school supplies.</w:t>
            </w:r>
            <w:r w:rsidR="00E5045F">
              <w:t xml:space="preserve">  Out of 506 parents the top health issues that affect learning are ADD/ADHD, Asthma/allergies and Learning/Developmental Disability.  Faculty reported (out of 21) the top 3 health issues are mental health, tiredness and hunger/hygiene and sickness (ranked the same).  Faculty reported the top areas of need for parents are </w:t>
            </w:r>
            <w:r w:rsidR="00E5045F">
              <w:lastRenderedPageBreak/>
              <w:t>parenting skills, extra support for basic needs and cooperation between home and school.  The needs of faculty are the following:  teacher resource materials, classroom supplies and stress management (yoga, after school fitness, etc…).</w:t>
            </w:r>
            <w:r w:rsidR="005D3521">
              <w:t xml:space="preserve">  </w:t>
            </w:r>
            <w:r w:rsidR="002036E1">
              <w:t>Some classes/programs faculty reported as being helpful were cooking classes so students could learn a skill, hygiene clinics, study skills, college/career fair, sexual education/bullying training, yoga, trauma informed care, book study, mother/daughter night or father/son night</w:t>
            </w:r>
            <w:r w:rsidR="005D3521">
              <w:t>, just</w:t>
            </w:r>
            <w:r w:rsidR="002036E1">
              <w:t xml:space="preserve"> to name a few.</w:t>
            </w:r>
          </w:p>
          <w:p w:rsidR="002036E1" w:rsidRPr="00F8579C" w:rsidRDefault="002036E1" w:rsidP="005D3521">
            <w:r>
              <w:t xml:space="preserve">The Fall 2019 YSC Student Needs Assessment indicated that the top areas of student need </w:t>
            </w:r>
            <w:r w:rsidR="005D3521">
              <w:t>were</w:t>
            </w:r>
            <w:r w:rsidR="006F30CD">
              <w:t xml:space="preserve"> information on summer and part-time jobs, knowing ways to increase self-esteem, information on stress management and computer and internet access.  The top three things that students feel would help them decide on their future career/college plans are as follows (out of 508): 200 students reported that having knowledge about colleges and what they offer would be helpful; another 200 said knowledge about careers available would be helpful; and lastly, other students reported that they feel like they need direction to help them decide their future because it is often unknown.  Data from the student survey indicated that 90% of </w:t>
            </w:r>
            <w:r w:rsidR="005D3521">
              <w:t xml:space="preserve">students </w:t>
            </w:r>
            <w:r w:rsidR="006F30CD">
              <w:t xml:space="preserve">feel confident or somewhat confident in their ability to fill out a job </w:t>
            </w:r>
            <w:r w:rsidR="008F2F7A">
              <w:t>application</w:t>
            </w:r>
            <w:r w:rsidR="005D3521">
              <w:t>,</w:t>
            </w:r>
            <w:r w:rsidR="006F30CD">
              <w:t xml:space="preserve"> design a resume or have appropriate interviewing skills.  Students also indicated that they would like to have the following available each year</w:t>
            </w:r>
            <w:r w:rsidR="008F2F7A">
              <w:t xml:space="preserve"> (top 5)</w:t>
            </w:r>
            <w:r w:rsidR="006F30CD">
              <w:t>:  afterschool activities, job shadowing, summer camps/summer enrichment, career development programs and Red Ribbon Week.</w:t>
            </w:r>
          </w:p>
        </w:tc>
      </w:tr>
    </w:tbl>
    <w:p w:rsidR="003A3EC1" w:rsidRDefault="003A3EC1" w:rsidP="003A3EC1">
      <w:pPr>
        <w:jc w:val="center"/>
      </w:pPr>
    </w:p>
    <w:sectPr w:rsidR="003A3EC1" w:rsidSect="00212DF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0108A"/>
    <w:multiLevelType w:val="hybridMultilevel"/>
    <w:tmpl w:val="73FCE47C"/>
    <w:lvl w:ilvl="0" w:tplc="C012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191FFD"/>
    <w:multiLevelType w:val="hybridMultilevel"/>
    <w:tmpl w:val="B53C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EC1"/>
    <w:rsid w:val="000171A2"/>
    <w:rsid w:val="0010097B"/>
    <w:rsid w:val="00174027"/>
    <w:rsid w:val="001C1254"/>
    <w:rsid w:val="001C23C9"/>
    <w:rsid w:val="002036E1"/>
    <w:rsid w:val="00212DFC"/>
    <w:rsid w:val="00222476"/>
    <w:rsid w:val="002B44EC"/>
    <w:rsid w:val="00315BA1"/>
    <w:rsid w:val="00351124"/>
    <w:rsid w:val="003A3EC1"/>
    <w:rsid w:val="003C16FE"/>
    <w:rsid w:val="00401B43"/>
    <w:rsid w:val="005D3521"/>
    <w:rsid w:val="005E1DFE"/>
    <w:rsid w:val="00697D82"/>
    <w:rsid w:val="006C5EAA"/>
    <w:rsid w:val="006F30CD"/>
    <w:rsid w:val="007142EB"/>
    <w:rsid w:val="00750D6F"/>
    <w:rsid w:val="0076325E"/>
    <w:rsid w:val="00860C08"/>
    <w:rsid w:val="008F2F7A"/>
    <w:rsid w:val="009079E7"/>
    <w:rsid w:val="00962609"/>
    <w:rsid w:val="009743DA"/>
    <w:rsid w:val="009B6431"/>
    <w:rsid w:val="009D1B1A"/>
    <w:rsid w:val="009E028E"/>
    <w:rsid w:val="00A00A3C"/>
    <w:rsid w:val="00A80392"/>
    <w:rsid w:val="00B134A3"/>
    <w:rsid w:val="00B22026"/>
    <w:rsid w:val="00B6515D"/>
    <w:rsid w:val="00BA0661"/>
    <w:rsid w:val="00BF2C58"/>
    <w:rsid w:val="00BF7E63"/>
    <w:rsid w:val="00C24531"/>
    <w:rsid w:val="00C4534B"/>
    <w:rsid w:val="00C53E8D"/>
    <w:rsid w:val="00C75F71"/>
    <w:rsid w:val="00CB6A82"/>
    <w:rsid w:val="00D06998"/>
    <w:rsid w:val="00DC59E8"/>
    <w:rsid w:val="00E5045F"/>
    <w:rsid w:val="00E56272"/>
    <w:rsid w:val="00E72DEE"/>
    <w:rsid w:val="00EF56B2"/>
    <w:rsid w:val="00F02DB9"/>
    <w:rsid w:val="00F8579C"/>
    <w:rsid w:val="00FA0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EC1"/>
    <w:pPr>
      <w:ind w:left="720"/>
      <w:contextualSpacing/>
    </w:pPr>
  </w:style>
  <w:style w:type="character" w:styleId="PlaceholderText">
    <w:name w:val="Placeholder Text"/>
    <w:basedOn w:val="DefaultParagraphFont"/>
    <w:uiPriority w:val="99"/>
    <w:semiHidden/>
    <w:rsid w:val="00697D82"/>
    <w:rPr>
      <w:color w:val="808080"/>
    </w:rPr>
  </w:style>
  <w:style w:type="paragraph" w:styleId="BalloonText">
    <w:name w:val="Balloon Text"/>
    <w:basedOn w:val="Normal"/>
    <w:link w:val="BalloonTextChar"/>
    <w:uiPriority w:val="99"/>
    <w:semiHidden/>
    <w:unhideWhenUsed/>
    <w:rsid w:val="0069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82"/>
    <w:rPr>
      <w:rFonts w:ascii="Tahoma" w:hAnsi="Tahoma" w:cs="Tahoma"/>
      <w:sz w:val="16"/>
      <w:szCs w:val="16"/>
    </w:rPr>
  </w:style>
  <w:style w:type="paragraph" w:styleId="NormalWeb">
    <w:name w:val="Normal (Web)"/>
    <w:basedOn w:val="Normal"/>
    <w:uiPriority w:val="99"/>
    <w:unhideWhenUsed/>
    <w:rsid w:val="00BF2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2399400">
      <w:bodyDiv w:val="1"/>
      <w:marLeft w:val="0"/>
      <w:marRight w:val="0"/>
      <w:marTop w:val="0"/>
      <w:marBottom w:val="0"/>
      <w:divBdr>
        <w:top w:val="none" w:sz="0" w:space="0" w:color="auto"/>
        <w:left w:val="none" w:sz="0" w:space="0" w:color="auto"/>
        <w:bottom w:val="none" w:sz="0" w:space="0" w:color="auto"/>
        <w:right w:val="none" w:sz="0" w:space="0" w:color="auto"/>
      </w:divBdr>
    </w:div>
    <w:div w:id="724572995">
      <w:bodyDiv w:val="1"/>
      <w:marLeft w:val="0"/>
      <w:marRight w:val="0"/>
      <w:marTop w:val="0"/>
      <w:marBottom w:val="0"/>
      <w:divBdr>
        <w:top w:val="none" w:sz="0" w:space="0" w:color="auto"/>
        <w:left w:val="none" w:sz="0" w:space="0" w:color="auto"/>
        <w:bottom w:val="none" w:sz="0" w:space="0" w:color="auto"/>
        <w:right w:val="none" w:sz="0" w:space="0" w:color="auto"/>
      </w:divBdr>
    </w:div>
    <w:div w:id="1435711361">
      <w:bodyDiv w:val="1"/>
      <w:marLeft w:val="0"/>
      <w:marRight w:val="0"/>
      <w:marTop w:val="0"/>
      <w:marBottom w:val="0"/>
      <w:divBdr>
        <w:top w:val="none" w:sz="0" w:space="0" w:color="auto"/>
        <w:left w:val="none" w:sz="0" w:space="0" w:color="auto"/>
        <w:bottom w:val="none" w:sz="0" w:space="0" w:color="auto"/>
        <w:right w:val="none" w:sz="0" w:space="0" w:color="auto"/>
      </w:divBdr>
      <w:divsChild>
        <w:div w:id="1178737668">
          <w:marLeft w:val="0"/>
          <w:marRight w:val="0"/>
          <w:marTop w:val="0"/>
          <w:marBottom w:val="0"/>
          <w:divBdr>
            <w:top w:val="none" w:sz="0" w:space="0" w:color="auto"/>
            <w:left w:val="none" w:sz="0" w:space="0" w:color="auto"/>
            <w:bottom w:val="none" w:sz="0" w:space="0" w:color="auto"/>
            <w:right w:val="none" w:sz="0" w:space="0" w:color="auto"/>
          </w:divBdr>
          <w:divsChild>
            <w:div w:id="1759792866">
              <w:marLeft w:val="0"/>
              <w:marRight w:val="0"/>
              <w:marTop w:val="0"/>
              <w:marBottom w:val="0"/>
              <w:divBdr>
                <w:top w:val="none" w:sz="0" w:space="0" w:color="auto"/>
                <w:left w:val="none" w:sz="0" w:space="0" w:color="auto"/>
                <w:bottom w:val="none" w:sz="0" w:space="0" w:color="auto"/>
                <w:right w:val="none" w:sz="0" w:space="0" w:color="auto"/>
              </w:divBdr>
              <w:divsChild>
                <w:div w:id="899948302">
                  <w:marLeft w:val="0"/>
                  <w:marRight w:val="0"/>
                  <w:marTop w:val="0"/>
                  <w:marBottom w:val="0"/>
                  <w:divBdr>
                    <w:top w:val="none" w:sz="0" w:space="0" w:color="auto"/>
                    <w:left w:val="none" w:sz="0" w:space="0" w:color="auto"/>
                    <w:bottom w:val="none" w:sz="0" w:space="0" w:color="auto"/>
                    <w:right w:val="none" w:sz="0" w:space="0" w:color="auto"/>
                  </w:divBdr>
                  <w:divsChild>
                    <w:div w:id="1524828509">
                      <w:marLeft w:val="0"/>
                      <w:marRight w:val="0"/>
                      <w:marTop w:val="0"/>
                      <w:marBottom w:val="0"/>
                      <w:divBdr>
                        <w:top w:val="none" w:sz="0" w:space="0" w:color="auto"/>
                        <w:left w:val="none" w:sz="0" w:space="0" w:color="auto"/>
                        <w:bottom w:val="none" w:sz="0" w:space="0" w:color="auto"/>
                        <w:right w:val="none" w:sz="0" w:space="0" w:color="auto"/>
                      </w:divBdr>
                      <w:divsChild>
                        <w:div w:id="467819372">
                          <w:marLeft w:val="0"/>
                          <w:marRight w:val="0"/>
                          <w:marTop w:val="0"/>
                          <w:marBottom w:val="0"/>
                          <w:divBdr>
                            <w:top w:val="none" w:sz="0" w:space="0" w:color="auto"/>
                            <w:left w:val="none" w:sz="0" w:space="0" w:color="auto"/>
                            <w:bottom w:val="none" w:sz="0" w:space="0" w:color="auto"/>
                            <w:right w:val="none" w:sz="0" w:space="0" w:color="auto"/>
                          </w:divBdr>
                          <w:divsChild>
                            <w:div w:id="576285207">
                              <w:marLeft w:val="0"/>
                              <w:marRight w:val="0"/>
                              <w:marTop w:val="0"/>
                              <w:marBottom w:val="0"/>
                              <w:divBdr>
                                <w:top w:val="none" w:sz="0" w:space="0" w:color="auto"/>
                                <w:left w:val="none" w:sz="0" w:space="0" w:color="auto"/>
                                <w:bottom w:val="none" w:sz="0" w:space="0" w:color="auto"/>
                                <w:right w:val="none" w:sz="0" w:space="0" w:color="auto"/>
                              </w:divBdr>
                              <w:divsChild>
                                <w:div w:id="972442406">
                                  <w:marLeft w:val="0"/>
                                  <w:marRight w:val="0"/>
                                  <w:marTop w:val="0"/>
                                  <w:marBottom w:val="0"/>
                                  <w:divBdr>
                                    <w:top w:val="none" w:sz="0" w:space="0" w:color="auto"/>
                                    <w:left w:val="none" w:sz="0" w:space="0" w:color="auto"/>
                                    <w:bottom w:val="none" w:sz="0" w:space="0" w:color="auto"/>
                                    <w:right w:val="none" w:sz="0" w:space="0" w:color="auto"/>
                                  </w:divBdr>
                                  <w:divsChild>
                                    <w:div w:id="176390124">
                                      <w:marLeft w:val="0"/>
                                      <w:marRight w:val="0"/>
                                      <w:marTop w:val="0"/>
                                      <w:marBottom w:val="0"/>
                                      <w:divBdr>
                                        <w:top w:val="none" w:sz="0" w:space="0" w:color="auto"/>
                                        <w:left w:val="none" w:sz="0" w:space="0" w:color="auto"/>
                                        <w:bottom w:val="none" w:sz="0" w:space="0" w:color="auto"/>
                                        <w:right w:val="none" w:sz="0" w:space="0" w:color="auto"/>
                                      </w:divBdr>
                                      <w:divsChild>
                                        <w:div w:id="1735548725">
                                          <w:marLeft w:val="0"/>
                                          <w:marRight w:val="0"/>
                                          <w:marTop w:val="0"/>
                                          <w:marBottom w:val="0"/>
                                          <w:divBdr>
                                            <w:top w:val="none" w:sz="0" w:space="0" w:color="auto"/>
                                            <w:left w:val="none" w:sz="0" w:space="0" w:color="auto"/>
                                            <w:bottom w:val="none" w:sz="0" w:space="0" w:color="auto"/>
                                            <w:right w:val="none" w:sz="0" w:space="0" w:color="auto"/>
                                          </w:divBdr>
                                          <w:divsChild>
                                            <w:div w:id="472985062">
                                              <w:marLeft w:val="0"/>
                                              <w:marRight w:val="0"/>
                                              <w:marTop w:val="0"/>
                                              <w:marBottom w:val="0"/>
                                              <w:divBdr>
                                                <w:top w:val="none" w:sz="0" w:space="0" w:color="auto"/>
                                                <w:left w:val="none" w:sz="0" w:space="0" w:color="auto"/>
                                                <w:bottom w:val="none" w:sz="0" w:space="0" w:color="auto"/>
                                                <w:right w:val="none" w:sz="0" w:space="0" w:color="auto"/>
                                              </w:divBdr>
                                              <w:divsChild>
                                                <w:div w:id="47456519">
                                                  <w:marLeft w:val="0"/>
                                                  <w:marRight w:val="0"/>
                                                  <w:marTop w:val="0"/>
                                                  <w:marBottom w:val="0"/>
                                                  <w:divBdr>
                                                    <w:top w:val="none" w:sz="0" w:space="0" w:color="auto"/>
                                                    <w:left w:val="none" w:sz="0" w:space="0" w:color="auto"/>
                                                    <w:bottom w:val="none" w:sz="0" w:space="0" w:color="auto"/>
                                                    <w:right w:val="none" w:sz="0" w:space="0" w:color="auto"/>
                                                  </w:divBdr>
                                                  <w:divsChild>
                                                    <w:div w:id="887952575">
                                                      <w:marLeft w:val="0"/>
                                                      <w:marRight w:val="0"/>
                                                      <w:marTop w:val="0"/>
                                                      <w:marBottom w:val="0"/>
                                                      <w:divBdr>
                                                        <w:top w:val="none" w:sz="0" w:space="0" w:color="auto"/>
                                                        <w:left w:val="none" w:sz="0" w:space="0" w:color="auto"/>
                                                        <w:bottom w:val="none" w:sz="0" w:space="0" w:color="auto"/>
                                                        <w:right w:val="none" w:sz="0" w:space="0" w:color="auto"/>
                                                      </w:divBdr>
                                                      <w:divsChild>
                                                        <w:div w:id="1405688068">
                                                          <w:marLeft w:val="0"/>
                                                          <w:marRight w:val="0"/>
                                                          <w:marTop w:val="0"/>
                                                          <w:marBottom w:val="0"/>
                                                          <w:divBdr>
                                                            <w:top w:val="none" w:sz="0" w:space="0" w:color="auto"/>
                                                            <w:left w:val="none" w:sz="0" w:space="0" w:color="auto"/>
                                                            <w:bottom w:val="none" w:sz="0" w:space="0" w:color="auto"/>
                                                            <w:right w:val="none" w:sz="0" w:space="0" w:color="auto"/>
                                                          </w:divBdr>
                                                          <w:divsChild>
                                                            <w:div w:id="1392265784">
                                                              <w:marLeft w:val="0"/>
                                                              <w:marRight w:val="150"/>
                                                              <w:marTop w:val="0"/>
                                                              <w:marBottom w:val="150"/>
                                                              <w:divBdr>
                                                                <w:top w:val="none" w:sz="0" w:space="0" w:color="auto"/>
                                                                <w:left w:val="none" w:sz="0" w:space="0" w:color="auto"/>
                                                                <w:bottom w:val="none" w:sz="0" w:space="0" w:color="auto"/>
                                                                <w:right w:val="none" w:sz="0" w:space="0" w:color="auto"/>
                                                              </w:divBdr>
                                                              <w:divsChild>
                                                                <w:div w:id="1742286460">
                                                                  <w:marLeft w:val="0"/>
                                                                  <w:marRight w:val="0"/>
                                                                  <w:marTop w:val="0"/>
                                                                  <w:marBottom w:val="0"/>
                                                                  <w:divBdr>
                                                                    <w:top w:val="none" w:sz="0" w:space="0" w:color="auto"/>
                                                                    <w:left w:val="none" w:sz="0" w:space="0" w:color="auto"/>
                                                                    <w:bottom w:val="none" w:sz="0" w:space="0" w:color="auto"/>
                                                                    <w:right w:val="none" w:sz="0" w:space="0" w:color="auto"/>
                                                                  </w:divBdr>
                                                                  <w:divsChild>
                                                                    <w:div w:id="1698044459">
                                                                      <w:marLeft w:val="0"/>
                                                                      <w:marRight w:val="0"/>
                                                                      <w:marTop w:val="0"/>
                                                                      <w:marBottom w:val="0"/>
                                                                      <w:divBdr>
                                                                        <w:top w:val="none" w:sz="0" w:space="0" w:color="auto"/>
                                                                        <w:left w:val="none" w:sz="0" w:space="0" w:color="auto"/>
                                                                        <w:bottom w:val="none" w:sz="0" w:space="0" w:color="auto"/>
                                                                        <w:right w:val="none" w:sz="0" w:space="0" w:color="auto"/>
                                                                      </w:divBdr>
                                                                      <w:divsChild>
                                                                        <w:div w:id="1637755416">
                                                                          <w:marLeft w:val="0"/>
                                                                          <w:marRight w:val="0"/>
                                                                          <w:marTop w:val="0"/>
                                                                          <w:marBottom w:val="0"/>
                                                                          <w:divBdr>
                                                                            <w:top w:val="none" w:sz="0" w:space="0" w:color="auto"/>
                                                                            <w:left w:val="none" w:sz="0" w:space="0" w:color="auto"/>
                                                                            <w:bottom w:val="none" w:sz="0" w:space="0" w:color="auto"/>
                                                                            <w:right w:val="none" w:sz="0" w:space="0" w:color="auto"/>
                                                                          </w:divBdr>
                                                                          <w:divsChild>
                                                                            <w:div w:id="1112214374">
                                                                              <w:marLeft w:val="0"/>
                                                                              <w:marRight w:val="0"/>
                                                                              <w:marTop w:val="0"/>
                                                                              <w:marBottom w:val="0"/>
                                                                              <w:divBdr>
                                                                                <w:top w:val="none" w:sz="0" w:space="0" w:color="auto"/>
                                                                                <w:left w:val="none" w:sz="0" w:space="0" w:color="auto"/>
                                                                                <w:bottom w:val="none" w:sz="0" w:space="0" w:color="auto"/>
                                                                                <w:right w:val="none" w:sz="0" w:space="0" w:color="auto"/>
                                                                              </w:divBdr>
                                                                              <w:divsChild>
                                                                                <w:div w:id="1217467739">
                                                                                  <w:marLeft w:val="0"/>
                                                                                  <w:marRight w:val="0"/>
                                                                                  <w:marTop w:val="0"/>
                                                                                  <w:marBottom w:val="0"/>
                                                                                  <w:divBdr>
                                                                                    <w:top w:val="none" w:sz="0" w:space="0" w:color="auto"/>
                                                                                    <w:left w:val="none" w:sz="0" w:space="0" w:color="auto"/>
                                                                                    <w:bottom w:val="none" w:sz="0" w:space="0" w:color="auto"/>
                                                                                    <w:right w:val="none" w:sz="0" w:space="0" w:color="auto"/>
                                                                                  </w:divBdr>
                                                                                  <w:divsChild>
                                                                                    <w:div w:id="1728458903">
                                                                                      <w:marLeft w:val="0"/>
                                                                                      <w:marRight w:val="0"/>
                                                                                      <w:marTop w:val="0"/>
                                                                                      <w:marBottom w:val="0"/>
                                                                                      <w:divBdr>
                                                                                        <w:top w:val="none" w:sz="0" w:space="0" w:color="auto"/>
                                                                                        <w:left w:val="none" w:sz="0" w:space="0" w:color="auto"/>
                                                                                        <w:bottom w:val="none" w:sz="0" w:space="0" w:color="auto"/>
                                                                                        <w:right w:val="none" w:sz="0" w:space="0" w:color="auto"/>
                                                                                      </w:divBdr>
                                                                                    </w:div>
                                                                                    <w:div w:id="959918920">
                                                                                      <w:marLeft w:val="0"/>
                                                                                      <w:marRight w:val="0"/>
                                                                                      <w:marTop w:val="0"/>
                                                                                      <w:marBottom w:val="0"/>
                                                                                      <w:divBdr>
                                                                                        <w:top w:val="none" w:sz="0" w:space="0" w:color="auto"/>
                                                                                        <w:left w:val="none" w:sz="0" w:space="0" w:color="auto"/>
                                                                                        <w:bottom w:val="none" w:sz="0" w:space="0" w:color="auto"/>
                                                                                        <w:right w:val="none" w:sz="0" w:space="0" w:color="auto"/>
                                                                                      </w:divBdr>
                                                                                    </w:div>
                                                                                    <w:div w:id="14749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1" ma:contentTypeDescription="Create a new document." ma:contentTypeScope="" ma:versionID="03acd706fd6e82bf3182a2baa2f4d2d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A81C2-DCAB-49D8-B6CD-542598E8243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31673D-6D90-4153-A9EE-8E8C747CD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183E2-C4F8-421D-9BC7-F62D55166617}">
  <ds:schemaRefs>
    <ds:schemaRef ds:uri="http://schemas.microsoft.com/sharepoint/v3/contenttype/forms"/>
  </ds:schemaRefs>
</ds:datastoreItem>
</file>

<file path=customXml/itemProps4.xml><?xml version="1.0" encoding="utf-8"?>
<ds:datastoreItem xmlns:ds="http://schemas.openxmlformats.org/officeDocument/2006/customXml" ds:itemID="{3C12A8B7-1C51-4396-9B22-36DDCB7E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Cookendorfer</dc:creator>
  <cp:lastModifiedBy>Templeman, Kelli</cp:lastModifiedBy>
  <cp:revision>6</cp:revision>
  <cp:lastPrinted>2015-10-20T17:22:00Z</cp:lastPrinted>
  <dcterms:created xsi:type="dcterms:W3CDTF">2020-01-13T19:52:00Z</dcterms:created>
  <dcterms:modified xsi:type="dcterms:W3CDTF">2020-01-23T20:53:00Z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