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51B08" w:rsidRDefault="009076D1">
      <w:pPr>
        <w:rPr>
          <w:rFonts w:ascii="Comfortaa" w:eastAsia="Comfortaa" w:hAnsi="Comfortaa" w:cs="Comfortaa"/>
          <w:b/>
          <w:sz w:val="20"/>
          <w:szCs w:val="20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20"/>
          <w:szCs w:val="20"/>
        </w:rPr>
        <w:t xml:space="preserve">January 2020 Board Meeting </w:t>
      </w:r>
    </w:p>
    <w:p w14:paraId="00000002" w14:textId="77777777" w:rsidR="00051B08" w:rsidRDefault="009076D1">
      <w:pPr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</w:rPr>
        <w:t xml:space="preserve"> Elementary Principal Jennifer Ward</w:t>
      </w:r>
    </w:p>
    <w:p w14:paraId="00000003" w14:textId="77777777" w:rsidR="00051B08" w:rsidRDefault="00051B08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04" w14:textId="77777777" w:rsidR="00051B08" w:rsidRDefault="009076D1">
      <w:pPr>
        <w:numPr>
          <w:ilvl w:val="0"/>
          <w:numId w:val="6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Academic Progress</w:t>
      </w:r>
    </w:p>
    <w:p w14:paraId="00000005" w14:textId="77777777" w:rsidR="00051B08" w:rsidRDefault="009076D1">
      <w:pPr>
        <w:numPr>
          <w:ilvl w:val="1"/>
          <w:numId w:val="6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Winter testing is complete:</w:t>
      </w:r>
    </w:p>
    <w:p w14:paraId="00000006" w14:textId="77777777" w:rsidR="00051B08" w:rsidRDefault="009076D1">
      <w:pPr>
        <w:numPr>
          <w:ilvl w:val="2"/>
          <w:numId w:val="6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See results below:</w:t>
      </w:r>
    </w:p>
    <w:p w14:paraId="00000007" w14:textId="77777777" w:rsidR="00051B08" w:rsidRDefault="00051B08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08" w14:textId="77777777" w:rsidR="00051B08" w:rsidRDefault="009076D1">
      <w:pPr>
        <w:numPr>
          <w:ilvl w:val="0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Mock KPREP Scrimmage results:</w:t>
      </w:r>
    </w:p>
    <w:p w14:paraId="00000009" w14:textId="77777777" w:rsidR="00051B08" w:rsidRDefault="009076D1">
      <w:pPr>
        <w:numPr>
          <w:ilvl w:val="1"/>
          <w:numId w:val="4"/>
        </w:numPr>
        <w:spacing w:line="264" w:lineRule="auto"/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After completing assessment protocols in PLC meetings, teachers are seeing much more DOK 2/3 level questioning as compared to an </w:t>
      </w:r>
      <w:proofErr w:type="spellStart"/>
      <w:r>
        <w:rPr>
          <w:rFonts w:ascii="Comfortaa" w:eastAsia="Comfortaa" w:hAnsi="Comfortaa" w:cs="Comfortaa"/>
          <w:sz w:val="20"/>
          <w:szCs w:val="20"/>
        </w:rPr>
        <w:t>over abundance</w:t>
      </w:r>
      <w:proofErr w:type="spellEnd"/>
      <w:r>
        <w:rPr>
          <w:rFonts w:ascii="Comfortaa" w:eastAsia="Comfortaa" w:hAnsi="Comfortaa" w:cs="Comfortaa"/>
          <w:sz w:val="20"/>
          <w:szCs w:val="20"/>
        </w:rPr>
        <w:t xml:space="preserve"> of DOK 1 at the beginning of the year.</w:t>
      </w:r>
    </w:p>
    <w:p w14:paraId="0000000A" w14:textId="77777777" w:rsidR="00051B08" w:rsidRDefault="009076D1">
      <w:pPr>
        <w:numPr>
          <w:ilvl w:val="1"/>
          <w:numId w:val="4"/>
        </w:numPr>
        <w:spacing w:line="264" w:lineRule="auto"/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Difference between results on the first and second scrimmages:</w:t>
      </w:r>
    </w:p>
    <w:p w14:paraId="0000000B" w14:textId="77777777" w:rsidR="00051B08" w:rsidRDefault="009076D1">
      <w:pPr>
        <w:numPr>
          <w:ilvl w:val="2"/>
          <w:numId w:val="4"/>
        </w:numPr>
        <w:spacing w:line="264" w:lineRule="auto"/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Teachers made their own assessment second round based on standards already taught. </w:t>
      </w:r>
    </w:p>
    <w:p w14:paraId="0000000C" w14:textId="77777777" w:rsidR="00051B08" w:rsidRDefault="009076D1">
      <w:pPr>
        <w:numPr>
          <w:ilvl w:val="2"/>
          <w:numId w:val="4"/>
        </w:numPr>
        <w:spacing w:line="264" w:lineRule="auto"/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Mirrored the KPREP exactly (time and number of problems)</w:t>
      </w:r>
    </w:p>
    <w:p w14:paraId="0000000D" w14:textId="77777777" w:rsidR="00051B08" w:rsidRDefault="009076D1">
      <w:pPr>
        <w:numPr>
          <w:ilvl w:val="1"/>
          <w:numId w:val="4"/>
        </w:numPr>
        <w:spacing w:line="264" w:lineRule="auto"/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As seen from the charts in Reading, it appears that 4</w:t>
      </w:r>
      <w:r>
        <w:rPr>
          <w:rFonts w:ascii="Comfortaa" w:eastAsia="Comfortaa" w:hAnsi="Comfortaa" w:cs="Comfortaa"/>
          <w:sz w:val="20"/>
          <w:szCs w:val="20"/>
          <w:vertAlign w:val="superscript"/>
        </w:rPr>
        <w:t>th</w:t>
      </w:r>
      <w:r>
        <w:rPr>
          <w:rFonts w:ascii="Comfortaa" w:eastAsia="Comfortaa" w:hAnsi="Comfortaa" w:cs="Comfortaa"/>
          <w:sz w:val="20"/>
          <w:szCs w:val="20"/>
        </w:rPr>
        <w:t xml:space="preserve"> and 5</w:t>
      </w:r>
      <w:r>
        <w:rPr>
          <w:rFonts w:ascii="Comfortaa" w:eastAsia="Comfortaa" w:hAnsi="Comfortaa" w:cs="Comfortaa"/>
          <w:sz w:val="20"/>
          <w:szCs w:val="20"/>
          <w:vertAlign w:val="superscript"/>
        </w:rPr>
        <w:t>th</w:t>
      </w:r>
      <w:r>
        <w:rPr>
          <w:rFonts w:ascii="Comfortaa" w:eastAsia="Comfortaa" w:hAnsi="Comfortaa" w:cs="Comfortaa"/>
          <w:sz w:val="20"/>
          <w:szCs w:val="20"/>
        </w:rPr>
        <w:t xml:space="preserve"> grade reading teachers are more rigorous than the released items from KDE.</w:t>
      </w:r>
    </w:p>
    <w:p w14:paraId="0000000E" w14:textId="77777777" w:rsidR="00051B08" w:rsidRDefault="009076D1">
      <w:pPr>
        <w:numPr>
          <w:ilvl w:val="2"/>
          <w:numId w:val="4"/>
        </w:numPr>
        <w:spacing w:line="264" w:lineRule="auto"/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Same for 5</w:t>
      </w:r>
      <w:r>
        <w:rPr>
          <w:rFonts w:ascii="Comfortaa" w:eastAsia="Comfortaa" w:hAnsi="Comfortaa" w:cs="Comfortaa"/>
          <w:sz w:val="20"/>
          <w:szCs w:val="20"/>
          <w:vertAlign w:val="superscript"/>
        </w:rPr>
        <w:t>th</w:t>
      </w:r>
      <w:r>
        <w:rPr>
          <w:rFonts w:ascii="Comfortaa" w:eastAsia="Comfortaa" w:hAnsi="Comfortaa" w:cs="Comfortaa"/>
          <w:sz w:val="20"/>
          <w:szCs w:val="20"/>
        </w:rPr>
        <w:t xml:space="preserve"> grade Math</w:t>
      </w:r>
    </w:p>
    <w:p w14:paraId="0000000F" w14:textId="77777777" w:rsidR="00051B08" w:rsidRDefault="009076D1">
      <w:pPr>
        <w:numPr>
          <w:ilvl w:val="0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proofErr w:type="spellStart"/>
      <w:r>
        <w:rPr>
          <w:rFonts w:ascii="Comfortaa" w:eastAsia="Comfortaa" w:hAnsi="Comfortaa" w:cs="Comfortaa"/>
          <w:sz w:val="20"/>
          <w:szCs w:val="20"/>
        </w:rPr>
        <w:t>iReady</w:t>
      </w:r>
      <w:proofErr w:type="spellEnd"/>
      <w:r>
        <w:rPr>
          <w:rFonts w:ascii="Comfortaa" w:eastAsia="Comfortaa" w:hAnsi="Comfortaa" w:cs="Comfortaa"/>
          <w:sz w:val="20"/>
          <w:szCs w:val="20"/>
        </w:rPr>
        <w:t xml:space="preserve"> Data: Percentage of students in Tier 1 (non-RTI students) from Fall to Winter</w:t>
      </w:r>
    </w:p>
    <w:p w14:paraId="00000010" w14:textId="77777777" w:rsidR="00051B08" w:rsidRDefault="009076D1">
      <w:pPr>
        <w:numPr>
          <w:ilvl w:val="1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Reading</w:t>
      </w:r>
    </w:p>
    <w:p w14:paraId="00000011" w14:textId="77777777" w:rsidR="00051B08" w:rsidRDefault="009076D1">
      <w:pPr>
        <w:numPr>
          <w:ilvl w:val="1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Increase in all grade levels</w:t>
      </w:r>
    </w:p>
    <w:p w14:paraId="00000012" w14:textId="77777777" w:rsidR="00051B08" w:rsidRDefault="009076D1">
      <w:pPr>
        <w:numPr>
          <w:ilvl w:val="1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5th and 6th stayed the same, but there was an increase in the number of students moving out of tier 3 (intensive intervention) and into tier 2.</w:t>
      </w:r>
    </w:p>
    <w:p w14:paraId="00000013" w14:textId="77777777" w:rsidR="00051B08" w:rsidRDefault="009076D1">
      <w:pPr>
        <w:numPr>
          <w:ilvl w:val="2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K - 11% to 69%</w:t>
      </w:r>
    </w:p>
    <w:p w14:paraId="00000014" w14:textId="77777777" w:rsidR="00051B08" w:rsidRDefault="009076D1">
      <w:pPr>
        <w:numPr>
          <w:ilvl w:val="2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1 - 20% to 43%</w:t>
      </w:r>
    </w:p>
    <w:p w14:paraId="00000015" w14:textId="77777777" w:rsidR="00051B08" w:rsidRDefault="009076D1">
      <w:pPr>
        <w:numPr>
          <w:ilvl w:val="2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2 - 31% to 52%</w:t>
      </w:r>
    </w:p>
    <w:p w14:paraId="00000016" w14:textId="77777777" w:rsidR="00051B08" w:rsidRDefault="009076D1">
      <w:pPr>
        <w:numPr>
          <w:ilvl w:val="2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3 - 67% to 74%</w:t>
      </w:r>
    </w:p>
    <w:p w14:paraId="00000017" w14:textId="77777777" w:rsidR="00051B08" w:rsidRDefault="009076D1">
      <w:pPr>
        <w:numPr>
          <w:ilvl w:val="2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4 - 12% to 25%</w:t>
      </w:r>
    </w:p>
    <w:p w14:paraId="00000018" w14:textId="77777777" w:rsidR="00051B08" w:rsidRDefault="009076D1">
      <w:pPr>
        <w:numPr>
          <w:ilvl w:val="2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5 - 23% to 23% (increase in students moving out of Tier 3 to 2)</w:t>
      </w:r>
    </w:p>
    <w:p w14:paraId="00000019" w14:textId="77777777" w:rsidR="00051B08" w:rsidRDefault="009076D1">
      <w:pPr>
        <w:numPr>
          <w:ilvl w:val="2"/>
          <w:numId w:val="4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6 - 26% to 26% (increase in students moving out of Tier 3 to 2)</w:t>
      </w:r>
    </w:p>
    <w:p w14:paraId="0000001A" w14:textId="77777777" w:rsidR="00051B08" w:rsidRDefault="00051B08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1B" w14:textId="77777777" w:rsidR="00051B08" w:rsidRDefault="009076D1">
      <w:pPr>
        <w:numPr>
          <w:ilvl w:val="0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Math Results</w:t>
      </w:r>
    </w:p>
    <w:p w14:paraId="0000001C" w14:textId="77777777" w:rsidR="00051B08" w:rsidRDefault="009076D1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Increase in all grade levels </w:t>
      </w:r>
    </w:p>
    <w:p w14:paraId="0000001D" w14:textId="77777777" w:rsidR="00051B08" w:rsidRDefault="009076D1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K - 9% to 51%</w:t>
      </w:r>
    </w:p>
    <w:p w14:paraId="0000001E" w14:textId="77777777" w:rsidR="00051B08" w:rsidRDefault="009076D1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1 - 18% to 41%</w:t>
      </w:r>
    </w:p>
    <w:p w14:paraId="0000001F" w14:textId="77777777" w:rsidR="00051B08" w:rsidRDefault="009076D1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2 - 14% to 36%</w:t>
      </w:r>
    </w:p>
    <w:p w14:paraId="00000020" w14:textId="77777777" w:rsidR="00051B08" w:rsidRDefault="009076D1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3 - 15% to 44%</w:t>
      </w:r>
    </w:p>
    <w:p w14:paraId="00000021" w14:textId="77777777" w:rsidR="00051B08" w:rsidRDefault="009076D1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4 - 13% to 36%</w:t>
      </w:r>
    </w:p>
    <w:p w14:paraId="00000022" w14:textId="77777777" w:rsidR="00051B08" w:rsidRDefault="009076D1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5 - 15% to 35%</w:t>
      </w:r>
    </w:p>
    <w:p w14:paraId="00000023" w14:textId="77777777" w:rsidR="00051B08" w:rsidRDefault="009076D1">
      <w:pPr>
        <w:numPr>
          <w:ilvl w:val="1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6 - 30% to 46%</w:t>
      </w:r>
    </w:p>
    <w:p w14:paraId="00000024" w14:textId="77777777" w:rsidR="00051B08" w:rsidRDefault="009076D1">
      <w:pPr>
        <w:widowControl w:val="0"/>
        <w:numPr>
          <w:ilvl w:val="0"/>
          <w:numId w:val="1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Keep in mind that the rigor in the elementary building has and will continue to increase to meet the instructional needs of our students.  </w:t>
      </w:r>
    </w:p>
    <w:p w14:paraId="00000025" w14:textId="77777777" w:rsidR="00051B08" w:rsidRDefault="009076D1">
      <w:pPr>
        <w:widowControl w:val="0"/>
        <w:numPr>
          <w:ilvl w:val="0"/>
          <w:numId w:val="1"/>
        </w:numPr>
        <w:spacing w:before="140"/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The District RTI Policy is currently being revisited to ensure quality referral processes for RTI</w:t>
      </w:r>
    </w:p>
    <w:p w14:paraId="00000026" w14:textId="77777777" w:rsidR="00051B08" w:rsidRDefault="00051B08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27" w14:textId="77777777" w:rsidR="00051B08" w:rsidRDefault="009076D1">
      <w:pPr>
        <w:jc w:val="left"/>
        <w:rPr>
          <w:rFonts w:ascii="Comfortaa" w:eastAsia="Comfortaa" w:hAnsi="Comfortaa" w:cs="Comfortaa"/>
          <w:b/>
          <w:sz w:val="20"/>
          <w:szCs w:val="20"/>
          <w:u w:val="single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PLC Meetings</w:t>
      </w:r>
    </w:p>
    <w:p w14:paraId="00000028" w14:textId="77777777" w:rsidR="00051B08" w:rsidRDefault="009076D1">
      <w:pPr>
        <w:numPr>
          <w:ilvl w:val="1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Assessment and Data Analysis Protocols continue</w:t>
      </w:r>
    </w:p>
    <w:p w14:paraId="00000029" w14:textId="77777777" w:rsidR="00051B08" w:rsidRDefault="009076D1">
      <w:pPr>
        <w:numPr>
          <w:ilvl w:val="2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DOK (Depth of Knowledge) of questions</w:t>
      </w:r>
    </w:p>
    <w:p w14:paraId="0000002A" w14:textId="77777777" w:rsidR="00051B08" w:rsidRDefault="009076D1">
      <w:pPr>
        <w:numPr>
          <w:ilvl w:val="2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Are questions congruent to the standards</w:t>
      </w:r>
    </w:p>
    <w:p w14:paraId="0000002B" w14:textId="77777777" w:rsidR="00051B08" w:rsidRDefault="009076D1">
      <w:pPr>
        <w:numPr>
          <w:ilvl w:val="2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proofErr w:type="gramStart"/>
      <w:r>
        <w:rPr>
          <w:rFonts w:ascii="Comfortaa" w:eastAsia="Comfortaa" w:hAnsi="Comfortaa" w:cs="Comfortaa"/>
          <w:sz w:val="20"/>
          <w:szCs w:val="20"/>
        </w:rPr>
        <w:t>is</w:t>
      </w:r>
      <w:proofErr w:type="gramEnd"/>
      <w:r>
        <w:rPr>
          <w:rFonts w:ascii="Comfortaa" w:eastAsia="Comfortaa" w:hAnsi="Comfortaa" w:cs="Comfortaa"/>
          <w:sz w:val="20"/>
          <w:szCs w:val="20"/>
        </w:rPr>
        <w:t xml:space="preserve"> the student assessment data what was expected?  </w:t>
      </w:r>
    </w:p>
    <w:p w14:paraId="0000002C" w14:textId="77777777" w:rsidR="00051B08" w:rsidRDefault="009076D1">
      <w:pPr>
        <w:numPr>
          <w:ilvl w:val="3"/>
          <w:numId w:val="3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What can be modified to increase proficiency?</w:t>
      </w:r>
    </w:p>
    <w:p w14:paraId="0000002D" w14:textId="77777777" w:rsidR="00051B08" w:rsidRDefault="009076D1">
      <w:pPr>
        <w:numPr>
          <w:ilvl w:val="0"/>
          <w:numId w:val="3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Staff Meetings</w:t>
      </w:r>
    </w:p>
    <w:p w14:paraId="0000002E" w14:textId="77777777" w:rsidR="00051B08" w:rsidRDefault="00051B08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2F" w14:textId="77777777" w:rsidR="00051B08" w:rsidRDefault="009076D1">
      <w:pPr>
        <w:numPr>
          <w:ilvl w:val="0"/>
          <w:numId w:val="2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Professional Development Information</w:t>
      </w:r>
    </w:p>
    <w:p w14:paraId="00000030" w14:textId="77777777" w:rsidR="00051B08" w:rsidRDefault="009076D1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Blanchard, Felker, and Johnson along with Mr. Godbey completed vertical planning with the middle school writing teachers on Jan. 15</w:t>
      </w:r>
    </w:p>
    <w:p w14:paraId="00000031" w14:textId="77777777" w:rsidR="00051B08" w:rsidRDefault="009076D1">
      <w:pPr>
        <w:numPr>
          <w:ilvl w:val="1"/>
          <w:numId w:val="2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lastRenderedPageBreak/>
        <w:t>Schultz and Oliver completed vertical planning with the middle school science and social studies teachers on Jan. 16</w:t>
      </w:r>
    </w:p>
    <w:p w14:paraId="00000032" w14:textId="77777777" w:rsidR="00051B08" w:rsidRDefault="00051B08">
      <w:pP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33" w14:textId="77777777" w:rsidR="00051B08" w:rsidRDefault="009076D1">
      <w:pPr>
        <w:numPr>
          <w:ilvl w:val="0"/>
          <w:numId w:val="5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Sustainability Plan (30 60 90 Day Plan)</w:t>
      </w:r>
    </w:p>
    <w:p w14:paraId="00000034" w14:textId="77777777" w:rsidR="00051B08" w:rsidRDefault="009076D1">
      <w:pPr>
        <w:numPr>
          <w:ilvl w:val="1"/>
          <w:numId w:val="5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 xml:space="preserve">Student </w:t>
      </w:r>
      <w:proofErr w:type="spellStart"/>
      <w:r>
        <w:rPr>
          <w:rFonts w:ascii="Comfortaa" w:eastAsia="Comfortaa" w:hAnsi="Comfortaa" w:cs="Comfortaa"/>
          <w:sz w:val="20"/>
          <w:szCs w:val="20"/>
        </w:rPr>
        <w:t>iReady</w:t>
      </w:r>
      <w:proofErr w:type="spellEnd"/>
      <w:r>
        <w:rPr>
          <w:rFonts w:ascii="Comfortaa" w:eastAsia="Comfortaa" w:hAnsi="Comfortaa" w:cs="Comfortaa"/>
          <w:sz w:val="20"/>
          <w:szCs w:val="20"/>
        </w:rPr>
        <w:t xml:space="preserve"> usage is continuing to be monitored</w:t>
      </w:r>
    </w:p>
    <w:p w14:paraId="00000035" w14:textId="77777777" w:rsidR="00051B08" w:rsidRDefault="009076D1">
      <w:pPr>
        <w:numPr>
          <w:ilvl w:val="1"/>
          <w:numId w:val="5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DSES Walk Through instrument is implemented and data is monitored monthly</w:t>
      </w:r>
    </w:p>
    <w:p w14:paraId="00000036" w14:textId="77777777" w:rsidR="00051B08" w:rsidRDefault="009076D1">
      <w:pPr>
        <w:numPr>
          <w:ilvl w:val="1"/>
          <w:numId w:val="5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Assessment and Data Analysis Protocols continue monthly</w:t>
      </w:r>
    </w:p>
    <w:p w14:paraId="00000037" w14:textId="77777777" w:rsidR="00051B08" w:rsidRDefault="009076D1">
      <w:pPr>
        <w:numPr>
          <w:ilvl w:val="1"/>
          <w:numId w:val="5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Longitudinal data charts have been updated</w:t>
      </w:r>
    </w:p>
    <w:p w14:paraId="00000038" w14:textId="77777777" w:rsidR="00051B08" w:rsidRDefault="009076D1">
      <w:pPr>
        <w:numPr>
          <w:ilvl w:val="1"/>
          <w:numId w:val="5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Teachers have vertically planned with the middle school</w:t>
      </w:r>
    </w:p>
    <w:p w14:paraId="00000039" w14:textId="77777777" w:rsidR="00051B08" w:rsidRDefault="009076D1">
      <w:pPr>
        <w:numPr>
          <w:ilvl w:val="2"/>
          <w:numId w:val="5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Next steps to set dates to vertically plan in each building</w:t>
      </w:r>
    </w:p>
    <w:p w14:paraId="0000003A" w14:textId="77777777" w:rsidR="00051B08" w:rsidRDefault="00051B0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omfortaa" w:eastAsia="Comfortaa" w:hAnsi="Comfortaa" w:cs="Comfortaa"/>
          <w:sz w:val="20"/>
          <w:szCs w:val="20"/>
        </w:rPr>
      </w:pPr>
    </w:p>
    <w:p w14:paraId="0000003B" w14:textId="77777777" w:rsidR="00051B08" w:rsidRDefault="009076D1">
      <w:pPr>
        <w:numPr>
          <w:ilvl w:val="0"/>
          <w:numId w:val="7"/>
        </w:numPr>
        <w:jc w:val="left"/>
        <w:rPr>
          <w:rFonts w:ascii="Comfortaa" w:eastAsia="Comfortaa" w:hAnsi="Comfortaa" w:cs="Comfortaa"/>
          <w:b/>
          <w:sz w:val="20"/>
          <w:szCs w:val="20"/>
        </w:rPr>
      </w:pPr>
      <w:r>
        <w:rPr>
          <w:rFonts w:ascii="Comfortaa" w:eastAsia="Comfortaa" w:hAnsi="Comfortaa" w:cs="Comfortaa"/>
          <w:b/>
          <w:sz w:val="20"/>
          <w:szCs w:val="20"/>
          <w:u w:val="single"/>
        </w:rPr>
        <w:t>Upcoming events</w:t>
      </w:r>
    </w:p>
    <w:p w14:paraId="0000003C" w14:textId="77777777" w:rsidR="00051B08" w:rsidRDefault="009076D1">
      <w:pPr>
        <w:numPr>
          <w:ilvl w:val="1"/>
          <w:numId w:val="7"/>
        </w:numPr>
        <w:jc w:val="left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sz w:val="20"/>
          <w:szCs w:val="20"/>
        </w:rPr>
        <w:t>February 5 - Winter Data Chats</w:t>
      </w:r>
    </w:p>
    <w:sectPr w:rsidR="00051B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07FA3"/>
    <w:multiLevelType w:val="multilevel"/>
    <w:tmpl w:val="A83A3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782AA7"/>
    <w:multiLevelType w:val="multilevel"/>
    <w:tmpl w:val="2C565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863DF5"/>
    <w:multiLevelType w:val="multilevel"/>
    <w:tmpl w:val="20B8B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9578FD"/>
    <w:multiLevelType w:val="multilevel"/>
    <w:tmpl w:val="8BFA7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895379"/>
    <w:multiLevelType w:val="multilevel"/>
    <w:tmpl w:val="231EB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9151C6"/>
    <w:multiLevelType w:val="multilevel"/>
    <w:tmpl w:val="A4A4C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496C60"/>
    <w:multiLevelType w:val="multilevel"/>
    <w:tmpl w:val="D30AA1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08"/>
    <w:rsid w:val="00051B08"/>
    <w:rsid w:val="009076D1"/>
    <w:rsid w:val="00B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DF94C-37EF-4B72-A06C-3B50115C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2020-01-22T20:25:00Z</dcterms:created>
  <dcterms:modified xsi:type="dcterms:W3CDTF">2020-01-22T20:25:00Z</dcterms:modified>
</cp:coreProperties>
</file>