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F5765">
        <w:rPr>
          <w:rFonts w:ascii="Times New Roman" w:eastAsia="Times New Roman" w:hAnsi="Times New Roman" w:cs="Times New Roman"/>
          <w:b/>
          <w:sz w:val="24"/>
          <w:szCs w:val="20"/>
        </w:rPr>
        <w:t>December 3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52597" w:rsidRDefault="00E52597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97" w:rsidRDefault="00E52597" w:rsidP="00E52597">
      <w:pPr>
        <w:pStyle w:val="ListParagraph"/>
        <w:numPr>
          <w:ilvl w:val="2"/>
          <w:numId w:val="9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utility costs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$1</w:t>
      </w:r>
      <w:r w:rsidR="004F576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533F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F5765">
        <w:rPr>
          <w:rFonts w:ascii="Times New Roman" w:eastAsia="Times New Roman" w:hAnsi="Times New Roman" w:cs="Times New Roman"/>
          <w:b/>
          <w:bCs/>
          <w:sz w:val="28"/>
          <w:szCs w:val="28"/>
        </w:rPr>
        <w:t>874.78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4F5765" w:rsidRDefault="004F5765" w:rsidP="004F576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4F5765">
      <w:pPr>
        <w:pStyle w:val="ListParagraph"/>
        <w:numPr>
          <w:ilvl w:val="2"/>
          <w:numId w:val="9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Year-To-Date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utility costs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3,490.98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4F5765" w:rsidRPr="004F5765" w:rsidRDefault="004F5765" w:rsidP="004F576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67" w:rsidRPr="003E0A67" w:rsidRDefault="003E0A67" w:rsidP="003E0A67">
      <w:pPr>
        <w:pStyle w:val="ListParagraph"/>
        <w:numPr>
          <w:ilvl w:val="2"/>
          <w:numId w:val="9"/>
        </w:numPr>
        <w:ind w:right="1440"/>
        <w:rPr>
          <w:rFonts w:ascii="Times New Roman" w:hAnsi="Times New Roman" w:cs="Times New Roman"/>
          <w:b/>
          <w:sz w:val="24"/>
          <w:szCs w:val="24"/>
        </w:rPr>
      </w:pPr>
      <w:r w:rsidRPr="003E0A67">
        <w:rPr>
          <w:rFonts w:ascii="Times New Roman" w:hAnsi="Times New Roman" w:cs="Times New Roman"/>
          <w:b/>
          <w:sz w:val="24"/>
          <w:szCs w:val="24"/>
        </w:rPr>
        <w:t xml:space="preserve">The Board has </w:t>
      </w:r>
      <w:r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Pr="003E0A67">
        <w:rPr>
          <w:rFonts w:ascii="Times New Roman" w:hAnsi="Times New Roman" w:cs="Times New Roman"/>
          <w:b/>
          <w:sz w:val="24"/>
          <w:szCs w:val="24"/>
        </w:rPr>
        <w:t>approved to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 amend our current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 natural gas 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contract with Stand Energy 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Corporation </w:t>
      </w:r>
      <w:r w:rsidRPr="003E0A67">
        <w:rPr>
          <w:rFonts w:ascii="Times New Roman" w:hAnsi="Times New Roman" w:cs="Times New Roman"/>
          <w:b/>
          <w:sz w:val="24"/>
          <w:szCs w:val="24"/>
        </w:rPr>
        <w:t>to also include Conner High School, Conner Middle School and New Haven Elementary School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4F5765" w:rsidRPr="003E0A67">
        <w:rPr>
          <w:rFonts w:ascii="Times New Roman" w:hAnsi="Times New Roman" w:cs="Times New Roman"/>
          <w:b/>
          <w:sz w:val="24"/>
          <w:szCs w:val="24"/>
        </w:rPr>
        <w:t xml:space="preserve">ased on the recent Duke Energy natural gas rate increase and the historic usage at 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these </w:t>
      </w:r>
      <w:r w:rsidR="004F5765" w:rsidRPr="003E0A67">
        <w:rPr>
          <w:rFonts w:ascii="Times New Roman" w:hAnsi="Times New Roman" w:cs="Times New Roman"/>
          <w:b/>
          <w:sz w:val="24"/>
          <w:szCs w:val="24"/>
        </w:rPr>
        <w:t>schools</w:t>
      </w:r>
      <w:r w:rsidRPr="003E0A67">
        <w:rPr>
          <w:rFonts w:ascii="Times New Roman" w:hAnsi="Times New Roman" w:cs="Times New Roman"/>
          <w:b/>
          <w:sz w:val="24"/>
          <w:szCs w:val="24"/>
        </w:rPr>
        <w:t>.</w:t>
      </w:r>
      <w:r w:rsidRPr="003E0A67">
        <w:rPr>
          <w:rFonts w:ascii="Times New Roman" w:hAnsi="Times New Roman" w:cs="Times New Roman"/>
          <w:sz w:val="24"/>
          <w:szCs w:val="24"/>
        </w:rPr>
        <w:t xml:space="preserve">  </w:t>
      </w:r>
      <w:r w:rsidRPr="003E0A67">
        <w:rPr>
          <w:rFonts w:ascii="Times New Roman" w:hAnsi="Times New Roman" w:cs="Times New Roman"/>
          <w:b/>
          <w:sz w:val="24"/>
          <w:szCs w:val="24"/>
        </w:rPr>
        <w:t>This allows the District to take advantage of favorabl</w:t>
      </w:r>
      <w:r w:rsidR="00A23E01">
        <w:rPr>
          <w:rFonts w:ascii="Times New Roman" w:hAnsi="Times New Roman" w:cs="Times New Roman"/>
          <w:b/>
          <w:sz w:val="24"/>
          <w:szCs w:val="24"/>
        </w:rPr>
        <w:t>e pricing now, and also provide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 more predicable utility cost</w:t>
      </w:r>
      <w:r w:rsidR="00A23E01">
        <w:rPr>
          <w:rFonts w:ascii="Times New Roman" w:hAnsi="Times New Roman" w:cs="Times New Roman"/>
          <w:b/>
          <w:sz w:val="24"/>
          <w:szCs w:val="24"/>
        </w:rPr>
        <w:t>s</w:t>
      </w:r>
      <w:r w:rsidRPr="003E0A67">
        <w:rPr>
          <w:rFonts w:ascii="Times New Roman" w:hAnsi="Times New Roman" w:cs="Times New Roman"/>
          <w:b/>
          <w:sz w:val="24"/>
          <w:szCs w:val="24"/>
        </w:rPr>
        <w:t xml:space="preserve"> for the winter months.</w:t>
      </w: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67" w:rsidRDefault="003E0A6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67" w:rsidRDefault="003E0A6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55F3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3E0A67" w:rsidP="00656630">
      <w:r w:rsidRPr="003E0A67">
        <w:drawing>
          <wp:inline distT="0" distB="0" distL="0" distR="0">
            <wp:extent cx="633412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3E0A67" w:rsidP="00656630">
      <w:r w:rsidRPr="003E0A67">
        <w:drawing>
          <wp:inline distT="0" distB="0" distL="0" distR="0">
            <wp:extent cx="633412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3E0A67" w:rsidP="00656630">
      <w:r w:rsidRPr="003E0A67">
        <w:drawing>
          <wp:inline distT="0" distB="0" distL="0" distR="0">
            <wp:extent cx="63912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E63A59" w:rsidP="00656630">
      <w:pPr>
        <w:rPr>
          <w:b/>
        </w:rPr>
      </w:pPr>
      <w:r w:rsidRPr="00E63A59">
        <w:drawing>
          <wp:inline distT="0" distB="0" distL="0" distR="0">
            <wp:extent cx="6334125" cy="590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Pr="00E64598" w:rsidRDefault="002732B4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3E0A67" w:rsidP="00656630">
      <w:pPr>
        <w:rPr>
          <w:b/>
        </w:rPr>
      </w:pPr>
      <w:r w:rsidRPr="003E0A67">
        <w:drawing>
          <wp:inline distT="0" distB="0" distL="0" distR="0">
            <wp:extent cx="6858000" cy="140965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C1132A" w:rsidP="00B90FB6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3E0A67">
        <w:rPr>
          <w:b/>
        </w:rPr>
        <w:t>October</w:t>
      </w:r>
      <w:r w:rsidR="00E76A5F">
        <w:rPr>
          <w:b/>
        </w:rPr>
        <w:t xml:space="preserve"> </w:t>
      </w:r>
      <w:r w:rsidR="00B90FB6">
        <w:rPr>
          <w:b/>
        </w:rPr>
        <w:t xml:space="preserve">2019 was </w:t>
      </w:r>
      <w:r w:rsidR="003E0A67">
        <w:rPr>
          <w:b/>
        </w:rPr>
        <w:t>cooler than Octob</w:t>
      </w:r>
      <w:r w:rsidR="00E76A5F">
        <w:rPr>
          <w:b/>
        </w:rPr>
        <w:t xml:space="preserve">er </w:t>
      </w:r>
      <w:r w:rsidR="00B90FB6">
        <w:rPr>
          <w:b/>
        </w:rPr>
        <w:t xml:space="preserve">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741B"/>
    <w:rsid w:val="00151B44"/>
    <w:rsid w:val="00154BD0"/>
    <w:rsid w:val="001610C2"/>
    <w:rsid w:val="001640BE"/>
    <w:rsid w:val="00170FFF"/>
    <w:rsid w:val="001E2A55"/>
    <w:rsid w:val="001F35B4"/>
    <w:rsid w:val="00231B04"/>
    <w:rsid w:val="00232323"/>
    <w:rsid w:val="00237CD6"/>
    <w:rsid w:val="00244E0F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562B2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84215"/>
    <w:rsid w:val="00595E8C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266A"/>
    <w:rsid w:val="007904AF"/>
    <w:rsid w:val="007954EE"/>
    <w:rsid w:val="007B2B0D"/>
    <w:rsid w:val="007E2834"/>
    <w:rsid w:val="007E2868"/>
    <w:rsid w:val="007E2EA7"/>
    <w:rsid w:val="007F3EA0"/>
    <w:rsid w:val="007F7505"/>
    <w:rsid w:val="008039EA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B3C0D"/>
    <w:rsid w:val="009B66A3"/>
    <w:rsid w:val="009E1A03"/>
    <w:rsid w:val="009E54D0"/>
    <w:rsid w:val="009F3232"/>
    <w:rsid w:val="009F4359"/>
    <w:rsid w:val="00A13A11"/>
    <w:rsid w:val="00A23E01"/>
    <w:rsid w:val="00A2582B"/>
    <w:rsid w:val="00A27BD0"/>
    <w:rsid w:val="00A533F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5D15"/>
    <w:rsid w:val="00D16255"/>
    <w:rsid w:val="00D2479D"/>
    <w:rsid w:val="00D3300C"/>
    <w:rsid w:val="00D347FF"/>
    <w:rsid w:val="00D57EEA"/>
    <w:rsid w:val="00D63834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6D6F"/>
    <w:rsid w:val="00EE73A4"/>
    <w:rsid w:val="00F01F29"/>
    <w:rsid w:val="00F143CA"/>
    <w:rsid w:val="00F1693E"/>
    <w:rsid w:val="00F21554"/>
    <w:rsid w:val="00F47F4D"/>
    <w:rsid w:val="00F53577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1C1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051A-AF80-4441-8E67-8775D58A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7</cp:revision>
  <cp:lastPrinted>2015-02-04T16:18:00Z</cp:lastPrinted>
  <dcterms:created xsi:type="dcterms:W3CDTF">2019-12-03T14:06:00Z</dcterms:created>
  <dcterms:modified xsi:type="dcterms:W3CDTF">2019-12-03T14:29:00Z</dcterms:modified>
</cp:coreProperties>
</file>