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D0" w:rsidRDefault="00CE7C0D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October 2019 Board Meeting </w:t>
      </w:r>
    </w:p>
    <w:p w:rsidR="007957D0" w:rsidRDefault="00CE7C0D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Elementary Principal Jennifer Ward</w:t>
      </w:r>
    </w:p>
    <w:p w:rsidR="007957D0" w:rsidRDefault="007957D0">
      <w:pPr>
        <w:jc w:val="left"/>
        <w:rPr>
          <w:sz w:val="20"/>
          <w:szCs w:val="20"/>
        </w:rPr>
      </w:pPr>
    </w:p>
    <w:p w:rsidR="007957D0" w:rsidRDefault="00CE7C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sz w:val="20"/>
          <w:szCs w:val="20"/>
        </w:rPr>
        <w:t>Elementary School Principal Advisory Council has met twice to discuss school progress so far this year.</w:t>
      </w:r>
    </w:p>
    <w:p w:rsidR="007957D0" w:rsidRDefault="00CE7C0D">
      <w:pPr>
        <w:numPr>
          <w:ilvl w:val="0"/>
          <w:numId w:val="6"/>
        </w:numPr>
        <w:jc w:val="left"/>
        <w:rPr>
          <w:rFonts w:ascii="Courier New" w:eastAsia="Courier New" w:hAnsi="Courier New" w:cs="Courier New"/>
          <w:sz w:val="20"/>
          <w:szCs w:val="20"/>
        </w:rPr>
      </w:pPr>
      <w:r>
        <w:rPr>
          <w:sz w:val="20"/>
          <w:szCs w:val="20"/>
        </w:rPr>
        <w:t>Academic Progress:</w:t>
      </w:r>
    </w:p>
    <w:p w:rsidR="007957D0" w:rsidRDefault="00CE7C0D">
      <w:pPr>
        <w:numPr>
          <w:ilvl w:val="1"/>
          <w:numId w:val="6"/>
        </w:numPr>
        <w:jc w:val="left"/>
        <w:rPr>
          <w:rFonts w:ascii="Courier New" w:eastAsia="Courier New" w:hAnsi="Courier New" w:cs="Courier New"/>
          <w:sz w:val="20"/>
          <w:szCs w:val="20"/>
        </w:rPr>
      </w:pPr>
      <w:r>
        <w:rPr>
          <w:sz w:val="20"/>
          <w:szCs w:val="20"/>
        </w:rPr>
        <w:t>First round of KPREP scrimmage testing is complete.  Teachers are now grading the assessments and inputting the data into the longitudinal data charts.  A calculator is now available via KDE that we can use to make a prediction as to what they will score on the actual KPREP exam.</w:t>
      </w:r>
    </w:p>
    <w:p w:rsidR="007957D0" w:rsidRDefault="007957D0">
      <w:pPr>
        <w:jc w:val="left"/>
        <w:rPr>
          <w:sz w:val="20"/>
          <w:szCs w:val="20"/>
        </w:rPr>
      </w:pPr>
    </w:p>
    <w:p w:rsidR="007957D0" w:rsidRDefault="00CE7C0D">
      <w:pPr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iReady Fall Diagnostic Information</w:t>
      </w:r>
    </w:p>
    <w:p w:rsidR="007957D0" w:rsidRDefault="00CE7C0D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Reading</w:t>
      </w:r>
    </w:p>
    <w:p w:rsidR="007957D0" w:rsidRDefault="00CE7C0D">
      <w:pPr>
        <w:numPr>
          <w:ilvl w:val="2"/>
          <w:numId w:val="1"/>
        </w:numPr>
        <w:jc w:val="left"/>
        <w:rPr>
          <w:sz w:val="20"/>
          <w:szCs w:val="20"/>
        </w:rPr>
      </w:pPr>
      <w:r>
        <w:rPr>
          <w:sz w:val="24"/>
          <w:szCs w:val="24"/>
        </w:rPr>
        <w:t>34% Tier 3 - at risk</w:t>
      </w:r>
      <w:r>
        <w:rPr>
          <w:sz w:val="24"/>
          <w:szCs w:val="24"/>
        </w:rPr>
        <w:tab/>
        <w:t>was 44%</w:t>
      </w:r>
    </w:p>
    <w:p w:rsidR="007957D0" w:rsidRDefault="00CE7C0D">
      <w:pPr>
        <w:numPr>
          <w:ilvl w:val="2"/>
          <w:numId w:val="1"/>
        </w:numPr>
        <w:jc w:val="left"/>
        <w:rPr>
          <w:sz w:val="20"/>
          <w:szCs w:val="20"/>
        </w:rPr>
      </w:pPr>
      <w:r>
        <w:rPr>
          <w:sz w:val="24"/>
          <w:szCs w:val="24"/>
        </w:rPr>
        <w:t>41% Tier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 37%</w:t>
      </w:r>
    </w:p>
    <w:p w:rsidR="007957D0" w:rsidRDefault="00CE7C0D">
      <w:pPr>
        <w:numPr>
          <w:ilvl w:val="2"/>
          <w:numId w:val="1"/>
        </w:numPr>
        <w:jc w:val="left"/>
        <w:rPr>
          <w:sz w:val="20"/>
          <w:szCs w:val="20"/>
        </w:rPr>
      </w:pPr>
      <w:r>
        <w:rPr>
          <w:sz w:val="24"/>
          <w:szCs w:val="24"/>
        </w:rPr>
        <w:t>25% Tier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 19%</w:t>
      </w:r>
    </w:p>
    <w:p w:rsidR="007957D0" w:rsidRDefault="007957D0">
      <w:pPr>
        <w:jc w:val="left"/>
        <w:rPr>
          <w:sz w:val="24"/>
          <w:szCs w:val="24"/>
        </w:rPr>
      </w:pPr>
    </w:p>
    <w:p w:rsidR="007957D0" w:rsidRDefault="00CE7C0D">
      <w:pPr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Math Results</w:t>
      </w:r>
    </w:p>
    <w:p w:rsidR="007957D0" w:rsidRDefault="00CE7C0D">
      <w:pPr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26% Tier 3 - at risk</w:t>
      </w:r>
      <w:r>
        <w:rPr>
          <w:sz w:val="24"/>
          <w:szCs w:val="24"/>
        </w:rPr>
        <w:tab/>
        <w:t>was 38%</w:t>
      </w:r>
    </w:p>
    <w:p w:rsidR="007957D0" w:rsidRDefault="00CE7C0D">
      <w:pPr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57% Tier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 51%</w:t>
      </w:r>
    </w:p>
    <w:p w:rsidR="007957D0" w:rsidRDefault="00CE7C0D">
      <w:pPr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17% Tier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 12%</w:t>
      </w:r>
    </w:p>
    <w:p w:rsidR="007957D0" w:rsidRDefault="007957D0">
      <w:pPr>
        <w:jc w:val="left"/>
        <w:rPr>
          <w:sz w:val="24"/>
          <w:szCs w:val="24"/>
        </w:rPr>
      </w:pPr>
    </w:p>
    <w:p w:rsidR="007957D0" w:rsidRDefault="00CE7C0D">
      <w:pPr>
        <w:numPr>
          <w:ilvl w:val="0"/>
          <w:numId w:val="4"/>
        </w:numPr>
        <w:jc w:val="left"/>
        <w:rPr>
          <w:sz w:val="20"/>
          <w:szCs w:val="20"/>
        </w:rPr>
      </w:pPr>
      <w:r>
        <w:rPr>
          <w:sz w:val="20"/>
          <w:szCs w:val="20"/>
        </w:rPr>
        <w:t>PLC Meetings:</w:t>
      </w:r>
    </w:p>
    <w:p w:rsidR="007957D0" w:rsidRDefault="00CE7C0D">
      <w:pPr>
        <w:numPr>
          <w:ilvl w:val="1"/>
          <w:numId w:val="4"/>
        </w:numPr>
        <w:jc w:val="left"/>
        <w:rPr>
          <w:sz w:val="20"/>
          <w:szCs w:val="20"/>
        </w:rPr>
      </w:pPr>
      <w:r>
        <w:rPr>
          <w:sz w:val="20"/>
          <w:szCs w:val="20"/>
        </w:rPr>
        <w:t>Teachers have been disaggregating student testing data in PLC meetings and inputting that information into our longitudinal data forms.</w:t>
      </w:r>
    </w:p>
    <w:p w:rsidR="007957D0" w:rsidRDefault="00CE7C0D">
      <w:pPr>
        <w:numPr>
          <w:ilvl w:val="1"/>
          <w:numId w:val="4"/>
        </w:numPr>
        <w:jc w:val="left"/>
        <w:rPr>
          <w:sz w:val="20"/>
          <w:szCs w:val="20"/>
        </w:rPr>
      </w:pPr>
      <w:r>
        <w:rPr>
          <w:sz w:val="20"/>
          <w:szCs w:val="20"/>
        </w:rPr>
        <w:t>We will be conducting assessment protocols and data analysis protocols again this year</w:t>
      </w:r>
    </w:p>
    <w:p w:rsidR="007957D0" w:rsidRDefault="007957D0">
      <w:pPr>
        <w:jc w:val="left"/>
        <w:rPr>
          <w:sz w:val="20"/>
          <w:szCs w:val="20"/>
        </w:rPr>
      </w:pPr>
    </w:p>
    <w:p w:rsidR="007957D0" w:rsidRDefault="00CE7C0D">
      <w:pPr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Guided Planning Meetings:</w:t>
      </w:r>
    </w:p>
    <w:p w:rsidR="007957D0" w:rsidRDefault="00CE7C0D">
      <w:pPr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Every Thursday teachers are engaged in guided planning meetings.</w:t>
      </w:r>
    </w:p>
    <w:p w:rsidR="007957D0" w:rsidRDefault="00CE7C0D">
      <w:pPr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Current focus is on standards alignment and assessments.  Are the assessments matching the standards that are being </w:t>
      </w:r>
      <w:proofErr w:type="gramStart"/>
      <w:r>
        <w:rPr>
          <w:sz w:val="20"/>
          <w:szCs w:val="20"/>
        </w:rPr>
        <w:t>taught.</w:t>
      </w:r>
      <w:proofErr w:type="gramEnd"/>
      <w:r>
        <w:rPr>
          <w:sz w:val="20"/>
          <w:szCs w:val="20"/>
        </w:rPr>
        <w:t xml:space="preserve">  TPT’s Total Participation Techniques are also being monitored to help encourage </w:t>
      </w:r>
      <w:proofErr w:type="spellStart"/>
      <w:proofErr w:type="gramStart"/>
      <w:r>
        <w:rPr>
          <w:sz w:val="20"/>
          <w:szCs w:val="20"/>
        </w:rPr>
        <w:t>students</w:t>
      </w:r>
      <w:proofErr w:type="spellEnd"/>
      <w:proofErr w:type="gramEnd"/>
      <w:r>
        <w:rPr>
          <w:sz w:val="20"/>
          <w:szCs w:val="20"/>
        </w:rPr>
        <w:t xml:space="preserve"> academic participation in the lessons.</w:t>
      </w:r>
    </w:p>
    <w:p w:rsidR="007957D0" w:rsidRDefault="007957D0">
      <w:pPr>
        <w:jc w:val="left"/>
        <w:rPr>
          <w:sz w:val="20"/>
          <w:szCs w:val="20"/>
        </w:rPr>
      </w:pPr>
    </w:p>
    <w:p w:rsidR="007957D0" w:rsidRDefault="00CE7C0D">
      <w:pPr>
        <w:numPr>
          <w:ilvl w:val="0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Sustainability Plan</w:t>
      </w:r>
    </w:p>
    <w:p w:rsidR="007957D0" w:rsidRDefault="00CE7C0D">
      <w:pPr>
        <w:numPr>
          <w:ilvl w:val="1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Mrs. Crystal Higgins and Ms. Pebbles Lancaster, along with all admin at DSES, have developed a sustainability plan for DSES to keep our momentum and academic progress now that we are no longer labeled “CSI”.</w:t>
      </w:r>
    </w:p>
    <w:p w:rsidR="007957D0" w:rsidRDefault="00CE7C0D">
      <w:pPr>
        <w:numPr>
          <w:ilvl w:val="2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Plan will be monitored monthly via DSES Admin meetings and the Instructional 30-60-90 day calendar.</w:t>
      </w:r>
    </w:p>
    <w:p w:rsidR="007957D0" w:rsidRDefault="007957D0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</w:p>
    <w:p w:rsidR="007957D0" w:rsidRDefault="00CE7C0D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Upcoming events:</w:t>
      </w:r>
    </w:p>
    <w:p w:rsidR="007957D0" w:rsidRDefault="007957D0">
      <w:pPr>
        <w:jc w:val="left"/>
        <w:rPr>
          <w:sz w:val="20"/>
          <w:szCs w:val="2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2"/>
        <w:gridCol w:w="2321"/>
        <w:gridCol w:w="2345"/>
        <w:gridCol w:w="2342"/>
      </w:tblGrid>
      <w:tr w:rsidR="007957D0">
        <w:trPr>
          <w:trHeight w:val="260"/>
        </w:trPr>
        <w:tc>
          <w:tcPr>
            <w:tcW w:w="2342" w:type="dxa"/>
          </w:tcPr>
          <w:p w:rsidR="007957D0" w:rsidRDefault="00CE7C0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21" w:type="dxa"/>
          </w:tcPr>
          <w:p w:rsidR="007957D0" w:rsidRDefault="00CE7C0D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5" w:type="dxa"/>
          </w:tcPr>
          <w:p w:rsidR="007957D0" w:rsidRDefault="00CE7C0D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342" w:type="dxa"/>
          </w:tcPr>
          <w:p w:rsidR="007957D0" w:rsidRDefault="00CE7C0D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7957D0">
        <w:trPr>
          <w:trHeight w:val="26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0" w:rsidRDefault="00CE7C0D">
            <w:r>
              <w:t>10/24/2019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0" w:rsidRDefault="00CE7C0D">
            <w:pPr>
              <w:jc w:val="center"/>
            </w:pPr>
            <w:r>
              <w:t>3:30-7:00 PM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0" w:rsidRDefault="00CE7C0D">
            <w:pPr>
              <w:jc w:val="center"/>
            </w:pPr>
            <w:r>
              <w:t>Parent Teacher Conferences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0" w:rsidRDefault="00CE7C0D">
            <w:pPr>
              <w:jc w:val="center"/>
            </w:pPr>
            <w:r>
              <w:t>DSES</w:t>
            </w:r>
          </w:p>
        </w:tc>
      </w:tr>
      <w:tr w:rsidR="007957D0">
        <w:trPr>
          <w:trHeight w:val="26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0" w:rsidRDefault="007957D0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0" w:rsidRDefault="007957D0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0" w:rsidRDefault="007957D0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0" w:rsidRDefault="007957D0">
            <w:pPr>
              <w:jc w:val="center"/>
            </w:pPr>
          </w:p>
        </w:tc>
      </w:tr>
      <w:tr w:rsidR="007957D0">
        <w:trPr>
          <w:trHeight w:val="26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0" w:rsidRDefault="007957D0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0" w:rsidRDefault="007957D0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0" w:rsidRDefault="007957D0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0" w:rsidRDefault="007957D0">
            <w:pPr>
              <w:jc w:val="center"/>
            </w:pPr>
          </w:p>
        </w:tc>
      </w:tr>
      <w:tr w:rsidR="007957D0">
        <w:trPr>
          <w:trHeight w:val="26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0" w:rsidRDefault="007957D0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0" w:rsidRDefault="007957D0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0" w:rsidRDefault="007957D0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0" w:rsidRDefault="007957D0">
            <w:pPr>
              <w:jc w:val="center"/>
            </w:pPr>
          </w:p>
        </w:tc>
      </w:tr>
      <w:tr w:rsidR="007957D0">
        <w:trPr>
          <w:trHeight w:val="26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0" w:rsidRDefault="007957D0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0" w:rsidRDefault="007957D0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0" w:rsidRDefault="007957D0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D0" w:rsidRDefault="007957D0">
            <w:pPr>
              <w:jc w:val="center"/>
            </w:pPr>
          </w:p>
        </w:tc>
      </w:tr>
      <w:tr w:rsidR="007957D0">
        <w:trPr>
          <w:trHeight w:val="260"/>
        </w:trPr>
        <w:tc>
          <w:tcPr>
            <w:tcW w:w="2342" w:type="dxa"/>
          </w:tcPr>
          <w:p w:rsidR="007957D0" w:rsidRDefault="007957D0"/>
        </w:tc>
        <w:tc>
          <w:tcPr>
            <w:tcW w:w="2321" w:type="dxa"/>
          </w:tcPr>
          <w:p w:rsidR="007957D0" w:rsidRDefault="007957D0">
            <w:pPr>
              <w:jc w:val="center"/>
            </w:pPr>
          </w:p>
        </w:tc>
        <w:tc>
          <w:tcPr>
            <w:tcW w:w="2345" w:type="dxa"/>
          </w:tcPr>
          <w:p w:rsidR="007957D0" w:rsidRDefault="007957D0">
            <w:pPr>
              <w:jc w:val="center"/>
            </w:pPr>
          </w:p>
        </w:tc>
        <w:tc>
          <w:tcPr>
            <w:tcW w:w="2342" w:type="dxa"/>
          </w:tcPr>
          <w:p w:rsidR="007957D0" w:rsidRDefault="007957D0">
            <w:pPr>
              <w:jc w:val="center"/>
            </w:pPr>
          </w:p>
        </w:tc>
      </w:tr>
    </w:tbl>
    <w:p w:rsidR="007957D0" w:rsidRDefault="007957D0">
      <w:pPr>
        <w:jc w:val="left"/>
        <w:rPr>
          <w:sz w:val="20"/>
          <w:szCs w:val="20"/>
        </w:rPr>
      </w:pPr>
    </w:p>
    <w:sectPr w:rsidR="007957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122"/>
    <w:multiLevelType w:val="multilevel"/>
    <w:tmpl w:val="A7F26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3E3316"/>
    <w:multiLevelType w:val="multilevel"/>
    <w:tmpl w:val="30EAF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3E0830"/>
    <w:multiLevelType w:val="multilevel"/>
    <w:tmpl w:val="98489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934012"/>
    <w:multiLevelType w:val="multilevel"/>
    <w:tmpl w:val="6A56E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201767"/>
    <w:multiLevelType w:val="multilevel"/>
    <w:tmpl w:val="F1804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573FAA"/>
    <w:multiLevelType w:val="multilevel"/>
    <w:tmpl w:val="471C8C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D0"/>
    <w:rsid w:val="006D5084"/>
    <w:rsid w:val="007957D0"/>
    <w:rsid w:val="00C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ACCFE-3570-4E33-9BB0-65F41740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left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Jennifer</dc:creator>
  <cp:lastModifiedBy>Whalen, Leonard</cp:lastModifiedBy>
  <cp:revision>2</cp:revision>
  <dcterms:created xsi:type="dcterms:W3CDTF">2019-10-16T19:06:00Z</dcterms:created>
  <dcterms:modified xsi:type="dcterms:W3CDTF">2019-10-16T19:06:00Z</dcterms:modified>
</cp:coreProperties>
</file>