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Will, I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can't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come close to their pricing... and I have no idea how they can provide the items installed with rigging and freight.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Here's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an example on her layout priced at $10,887.  It includes these items based on her notes: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Valance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(2) Mains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Track for Mains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(2) Rears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Track for Rears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(3) Borders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(6) Legs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(6)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Rotodrapers</w:t>
      </w:r>
      <w:proofErr w:type="spellEnd"/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My cost on that is $16,800.  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So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, if their numbers are accurate, and there isn't anything fishy, then I wouldn't hesitate to choose them.  I simply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can't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touch it.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Thanks!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Tom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Style w:val="Strong"/>
          <w:rFonts w:ascii="Verdana" w:eastAsia="Times New Roman" w:hAnsi="Verdana"/>
          <w:color w:val="000000"/>
          <w:sz w:val="28"/>
          <w:szCs w:val="28"/>
        </w:rPr>
        <w:t> 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8"/>
          <w:szCs w:val="28"/>
        </w:rPr>
        <w:t>Tom Bullard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423-329-6975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  (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>office)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865-209-0858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>  (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>cell)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hyperlink r:id="rId4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tom@cesmg.com</w:t>
        </w:r>
      </w:hyperlink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8A4BC4" w:rsidRDefault="008A4BC4" w:rsidP="008A4BC4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52575" cy="1085850"/>
            <wp:effectExtent l="0" t="0" r="9525" b="0"/>
            <wp:docPr id="1" name="Picture 1" descr="cid:sigimg1@a93ceca9e4be009717a63f5d54520b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img1" descr="cid:sigimg1@a93ceca9e4be009717a63f5d54520b3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D9" w:rsidRDefault="00794AD9">
      <w:bookmarkStart w:id="0" w:name="_GoBack"/>
      <w:bookmarkEnd w:id="0"/>
    </w:p>
    <w:sectPr w:rsidR="0079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C4"/>
    <w:rsid w:val="00794AD9"/>
    <w:rsid w:val="008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B1959-B703-4804-A0ED-76ED743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B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sigimg1@a93ceca9e4be009717a63f5d54520b39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om@ces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William - Facilities/Technology Director</dc:creator>
  <cp:keywords/>
  <dc:description/>
  <cp:lastModifiedBy>Noble, William - Facilities/Technology Director</cp:lastModifiedBy>
  <cp:revision>1</cp:revision>
  <dcterms:created xsi:type="dcterms:W3CDTF">2019-10-16T13:41:00Z</dcterms:created>
  <dcterms:modified xsi:type="dcterms:W3CDTF">2019-10-16T13:41:00Z</dcterms:modified>
</cp:coreProperties>
</file>