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27" w:rsidRPr="00F16362" w:rsidRDefault="00F16362" w:rsidP="00F16362">
      <w:pPr>
        <w:jc w:val="center"/>
        <w:rPr>
          <w:b/>
          <w:sz w:val="32"/>
          <w:szCs w:val="32"/>
        </w:rPr>
      </w:pPr>
      <w:r w:rsidRPr="00F16362">
        <w:rPr>
          <w:b/>
          <w:sz w:val="32"/>
          <w:szCs w:val="32"/>
        </w:rPr>
        <w:t>WORKING BUDGET INFORMATION</w:t>
      </w:r>
    </w:p>
    <w:p w:rsidR="00F16362" w:rsidRDefault="00F16362" w:rsidP="00F16362">
      <w:pPr>
        <w:jc w:val="center"/>
      </w:pPr>
    </w:p>
    <w:p w:rsidR="00F16362" w:rsidRPr="000F32C0" w:rsidRDefault="000F32C0" w:rsidP="00F16362">
      <w:pPr>
        <w:jc w:val="center"/>
        <w:rPr>
          <w:b/>
          <w:sz w:val="28"/>
          <w:szCs w:val="28"/>
        </w:rPr>
      </w:pPr>
      <w:bookmarkStart w:id="0" w:name="_GoBack"/>
      <w:r w:rsidRPr="000F32C0">
        <w:rPr>
          <w:b/>
          <w:sz w:val="28"/>
          <w:szCs w:val="28"/>
        </w:rPr>
        <w:t>CONTINGENCY</w:t>
      </w:r>
    </w:p>
    <w:bookmarkEnd w:id="0"/>
    <w:p w:rsidR="00F16362" w:rsidRDefault="000F32C0">
      <w:pPr>
        <w:rPr>
          <w:sz w:val="28"/>
          <w:szCs w:val="28"/>
        </w:rPr>
      </w:pPr>
      <w:r>
        <w:rPr>
          <w:sz w:val="28"/>
          <w:szCs w:val="28"/>
        </w:rPr>
        <w:t>GF Budgeted Contingency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$1,305,250</w:t>
      </w: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FS Budgeted Contingency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 300,000</w:t>
      </w:r>
    </w:p>
    <w:p w:rsidR="000F32C0" w:rsidRDefault="000F32C0">
      <w:pPr>
        <w:rPr>
          <w:sz w:val="28"/>
          <w:szCs w:val="28"/>
        </w:rPr>
      </w:pPr>
    </w:p>
    <w:p w:rsidR="000F32C0" w:rsidRDefault="000F32C0">
      <w:pPr>
        <w:rPr>
          <w:sz w:val="28"/>
          <w:szCs w:val="28"/>
        </w:rPr>
      </w:pP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Contingency Percentage is defined as the amount of contingency budgeted divided by the sum of total expenditures in GF and FS.</w:t>
      </w: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Budgeted Contingency Percentage Calculation</w:t>
      </w: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GF Contingency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$  1,305,250</w:t>
      </w:r>
      <w:proofErr w:type="gramEnd"/>
    </w:p>
    <w:p w:rsidR="000F32C0" w:rsidRDefault="000F32C0">
      <w:pPr>
        <w:rPr>
          <w:sz w:val="28"/>
          <w:szCs w:val="28"/>
        </w:rPr>
      </w:pP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GF Expenditures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$14,418,601</w:t>
      </w: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FS Expenditures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1,945,468</w:t>
      </w: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$16,364,069</w:t>
      </w:r>
    </w:p>
    <w:p w:rsidR="000F32C0" w:rsidRDefault="000F32C0">
      <w:pPr>
        <w:rPr>
          <w:sz w:val="28"/>
          <w:szCs w:val="28"/>
        </w:rPr>
      </w:pP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>Percentage Calculation</w:t>
      </w:r>
      <w:r>
        <w:rPr>
          <w:sz w:val="28"/>
          <w:szCs w:val="28"/>
        </w:rPr>
        <w:tab/>
        <w:t>$1,305,250/16,364,069 = 7.98%</w:t>
      </w:r>
    </w:p>
    <w:p w:rsidR="000F32C0" w:rsidRDefault="000F32C0">
      <w:pPr>
        <w:rPr>
          <w:sz w:val="28"/>
          <w:szCs w:val="28"/>
        </w:rPr>
      </w:pPr>
    </w:p>
    <w:p w:rsidR="000F32C0" w:rsidRDefault="000F32C0">
      <w:pPr>
        <w:rPr>
          <w:sz w:val="28"/>
          <w:szCs w:val="28"/>
        </w:rPr>
      </w:pPr>
      <w:r>
        <w:rPr>
          <w:sz w:val="28"/>
          <w:szCs w:val="28"/>
        </w:rPr>
        <w:t xml:space="preserve">The actual contingency is usually actually much higher than this because expenditures are historically always lower than budgeted, for many reasons including reimbursements received throughout the year for various expenditures </w:t>
      </w:r>
      <w:proofErr w:type="gramStart"/>
      <w:r>
        <w:rPr>
          <w:sz w:val="28"/>
          <w:szCs w:val="28"/>
        </w:rPr>
        <w:t>such</w:t>
      </w:r>
      <w:proofErr w:type="gramEnd"/>
      <w:r>
        <w:rPr>
          <w:sz w:val="28"/>
          <w:szCs w:val="28"/>
        </w:rPr>
        <w:t xml:space="preserve"> as Worker’s Comp, Unemployment, Field Trips, etc.</w:t>
      </w:r>
    </w:p>
    <w:p w:rsidR="000F32C0" w:rsidRDefault="000F32C0">
      <w:pPr>
        <w:rPr>
          <w:sz w:val="28"/>
          <w:szCs w:val="28"/>
        </w:rPr>
      </w:pPr>
    </w:p>
    <w:p w:rsidR="000F32C0" w:rsidRDefault="000F32C0"/>
    <w:sectPr w:rsidR="000F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62"/>
    <w:rsid w:val="000F32C0"/>
    <w:rsid w:val="00367EF0"/>
    <w:rsid w:val="006717B2"/>
    <w:rsid w:val="00F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D607"/>
  <w15:chartTrackingRefBased/>
  <w15:docId w15:val="{4D19CD5B-AC04-4A4C-BB85-61C9F31A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McKnight, Stacy - Central Office</dc:creator>
  <cp:keywords/>
  <dc:description/>
  <cp:lastModifiedBy>McKnight, Stacy - Central Office</cp:lastModifiedBy>
  <cp:revision>1</cp:revision>
  <dcterms:created xsi:type="dcterms:W3CDTF">2019-09-11T11:41:00Z</dcterms:created>
  <dcterms:modified xsi:type="dcterms:W3CDTF">2019-09-11T14:07:00Z</dcterms:modified>
</cp:coreProperties>
</file>