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F" w:rsidRDefault="00D15A41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September 2019 Board Meeting </w:t>
      </w:r>
    </w:p>
    <w:p w:rsidR="00ED754F" w:rsidRDefault="00D15A4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ED754F" w:rsidRDefault="00ED754F">
      <w:pPr>
        <w:jc w:val="left"/>
        <w:rPr>
          <w:sz w:val="20"/>
          <w:szCs w:val="20"/>
        </w:rPr>
      </w:pPr>
    </w:p>
    <w:p w:rsidR="00ED754F" w:rsidRDefault="00D15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Elementary School Principal Advisory Council has met twice to discuss school progress so far this year.</w:t>
      </w:r>
    </w:p>
    <w:p w:rsidR="00ED754F" w:rsidRDefault="00D15A41">
      <w:pPr>
        <w:numPr>
          <w:ilvl w:val="0"/>
          <w:numId w:val="1"/>
        </w:numPr>
        <w:jc w:val="left"/>
        <w:rPr>
          <w:rFonts w:ascii="Courier New" w:eastAsia="Courier New" w:hAnsi="Courier New" w:cs="Courier New"/>
          <w:sz w:val="20"/>
          <w:szCs w:val="20"/>
        </w:rPr>
      </w:pPr>
      <w:r>
        <w:rPr>
          <w:sz w:val="20"/>
          <w:szCs w:val="20"/>
        </w:rPr>
        <w:t>Academic Progress:</w:t>
      </w:r>
    </w:p>
    <w:p w:rsidR="00ED754F" w:rsidRDefault="00D15A41">
      <w:pPr>
        <w:numPr>
          <w:ilvl w:val="1"/>
          <w:numId w:val="1"/>
        </w:numPr>
        <w:jc w:val="left"/>
        <w:rPr>
          <w:rFonts w:ascii="Courier New" w:eastAsia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RTI Reading and Math groups have been established for the year </w:t>
      </w:r>
      <w:proofErr w:type="gramStart"/>
      <w:r>
        <w:rPr>
          <w:sz w:val="20"/>
          <w:szCs w:val="20"/>
        </w:rPr>
        <w:t>These</w:t>
      </w:r>
      <w:proofErr w:type="gramEnd"/>
      <w:r>
        <w:rPr>
          <w:sz w:val="20"/>
          <w:szCs w:val="20"/>
        </w:rPr>
        <w:t xml:space="preserve"> groups will change throughout the school year based on student assessment data.  The goal is for students to move out of RTI tier 3.</w:t>
      </w:r>
    </w:p>
    <w:p w:rsidR="00ED754F" w:rsidRDefault="00D15A41">
      <w:pPr>
        <w:numPr>
          <w:ilvl w:val="1"/>
          <w:numId w:val="1"/>
        </w:numPr>
        <w:jc w:val="left"/>
        <w:rPr>
          <w:rFonts w:ascii="Courier New" w:eastAsia="Courier New" w:hAnsi="Courier New" w:cs="Courier New"/>
          <w:sz w:val="20"/>
          <w:szCs w:val="20"/>
        </w:rPr>
      </w:pPr>
      <w:r>
        <w:rPr>
          <w:sz w:val="20"/>
          <w:szCs w:val="20"/>
        </w:rPr>
        <w:t>iReady Fall Diagnostic Information</w:t>
      </w:r>
    </w:p>
    <w:p w:rsidR="00ED754F" w:rsidRDefault="00ED754F">
      <w:pPr>
        <w:numPr>
          <w:ilvl w:val="2"/>
          <w:numId w:val="1"/>
        </w:numPr>
        <w:jc w:val="left"/>
        <w:rPr>
          <w:sz w:val="20"/>
          <w:szCs w:val="20"/>
        </w:rPr>
      </w:pPr>
    </w:p>
    <w:p w:rsidR="00ED754F" w:rsidRDefault="00D15A41">
      <w:pPr>
        <w:numPr>
          <w:ilvl w:val="1"/>
          <w:numId w:val="1"/>
        </w:numPr>
        <w:jc w:val="left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sz w:val="20"/>
          <w:szCs w:val="20"/>
        </w:rPr>
        <w:t>CERT Fall Diagnostic testing is complete</w:t>
      </w:r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PLC Meetings:</w:t>
      </w:r>
    </w:p>
    <w:p w:rsidR="00ED754F" w:rsidRDefault="00D15A41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Teachers have been disaggregating student testing data in PLC meetings and inputting that information into our longitudinal data forms.</w:t>
      </w:r>
    </w:p>
    <w:p w:rsidR="00ED754F" w:rsidRDefault="00D15A41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We will be conducting assessment protocols and data analysis protocols again this year</w:t>
      </w:r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Guided Planning Meetings:</w:t>
      </w:r>
    </w:p>
    <w:p w:rsidR="00ED754F" w:rsidRDefault="00D15A41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Every Thursday teachers are engaged in guided planning meetings.</w:t>
      </w:r>
    </w:p>
    <w:p w:rsidR="00ED754F" w:rsidRDefault="00D15A41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10 to 15 minutes and sometimes more if needed to discuss lesson plans and any questions teachers may have in regards to instructional delivery and class lesson plans</w:t>
      </w:r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Walk Throughs (walkabouts) have stated.</w:t>
      </w:r>
    </w:p>
    <w:p w:rsidR="00ED754F" w:rsidRDefault="00D15A41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All administrators have calibrated with one another on walk throughs in the elementary building.</w:t>
      </w:r>
    </w:p>
    <w:p w:rsidR="00ED754F" w:rsidRDefault="00D15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DSES Now has a 6th grade Student Council.  Those members include:</w:t>
      </w:r>
    </w:p>
    <w:p w:rsidR="00ED754F" w:rsidRDefault="00D15A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Trevor McKnight</w:t>
      </w:r>
    </w:p>
    <w:p w:rsidR="00ED754F" w:rsidRDefault="00D15A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Micah Washburn</w:t>
      </w:r>
    </w:p>
    <w:p w:rsidR="00ED754F" w:rsidRDefault="00D15A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Jaydon Plunkett</w:t>
      </w:r>
    </w:p>
    <w:p w:rsidR="00ED754F" w:rsidRDefault="00D15A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Jaxen Thomas</w:t>
      </w:r>
    </w:p>
    <w:p w:rsidR="00ED754F" w:rsidRDefault="00D15A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Grayson Darrow</w:t>
      </w:r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Tae Johnson</w:t>
      </w:r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Aubree </w:t>
      </w:r>
      <w:proofErr w:type="spellStart"/>
      <w:r>
        <w:rPr>
          <w:sz w:val="20"/>
          <w:szCs w:val="20"/>
        </w:rPr>
        <w:t>Hickerson</w:t>
      </w:r>
      <w:proofErr w:type="spellEnd"/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Jasmine Lynch</w:t>
      </w:r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Kristin </w:t>
      </w:r>
      <w:proofErr w:type="spellStart"/>
      <w:r>
        <w:rPr>
          <w:sz w:val="20"/>
          <w:szCs w:val="20"/>
        </w:rPr>
        <w:t>Tossi</w:t>
      </w:r>
      <w:proofErr w:type="spellEnd"/>
    </w:p>
    <w:p w:rsidR="00ED754F" w:rsidRDefault="00D15A41">
      <w:pPr>
        <w:numPr>
          <w:ilvl w:val="1"/>
          <w:numId w:val="1"/>
        </w:num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Saydee</w:t>
      </w:r>
      <w:proofErr w:type="spellEnd"/>
      <w:r>
        <w:rPr>
          <w:sz w:val="20"/>
          <w:szCs w:val="20"/>
        </w:rPr>
        <w:t xml:space="preserve"> Cowan</w:t>
      </w:r>
    </w:p>
    <w:p w:rsidR="00ED754F" w:rsidRDefault="00ED754F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left"/>
        <w:rPr>
          <w:color w:val="000000"/>
          <w:sz w:val="20"/>
          <w:szCs w:val="20"/>
        </w:rPr>
      </w:pPr>
    </w:p>
    <w:p w:rsidR="00ED754F" w:rsidRDefault="00D15A4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Upcoming events:</w:t>
      </w:r>
    </w:p>
    <w:p w:rsidR="00ED754F" w:rsidRDefault="00ED754F">
      <w:pPr>
        <w:jc w:val="left"/>
        <w:rPr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2321"/>
        <w:gridCol w:w="2345"/>
        <w:gridCol w:w="2342"/>
      </w:tblGrid>
      <w:tr w:rsidR="00ED754F">
        <w:trPr>
          <w:trHeight w:val="260"/>
        </w:trPr>
        <w:tc>
          <w:tcPr>
            <w:tcW w:w="2342" w:type="dxa"/>
          </w:tcPr>
          <w:p w:rsidR="00ED754F" w:rsidRDefault="00D15A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1" w:type="dxa"/>
          </w:tcPr>
          <w:p w:rsidR="00ED754F" w:rsidRDefault="00D15A4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5" w:type="dxa"/>
          </w:tcPr>
          <w:p w:rsidR="00ED754F" w:rsidRDefault="00D15A41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42" w:type="dxa"/>
          </w:tcPr>
          <w:p w:rsidR="00ED754F" w:rsidRDefault="00D15A41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D754F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</w:tr>
      <w:tr w:rsidR="00ED754F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</w:tr>
      <w:tr w:rsidR="00ED754F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</w:tr>
      <w:tr w:rsidR="00ED754F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</w:tr>
      <w:tr w:rsidR="00ED754F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4F" w:rsidRDefault="00ED754F">
            <w:pPr>
              <w:jc w:val="center"/>
            </w:pPr>
          </w:p>
        </w:tc>
      </w:tr>
      <w:tr w:rsidR="00ED754F">
        <w:trPr>
          <w:trHeight w:val="260"/>
        </w:trPr>
        <w:tc>
          <w:tcPr>
            <w:tcW w:w="2342" w:type="dxa"/>
          </w:tcPr>
          <w:p w:rsidR="00ED754F" w:rsidRDefault="00ED754F"/>
        </w:tc>
        <w:tc>
          <w:tcPr>
            <w:tcW w:w="2321" w:type="dxa"/>
          </w:tcPr>
          <w:p w:rsidR="00ED754F" w:rsidRDefault="00ED754F">
            <w:pPr>
              <w:jc w:val="center"/>
            </w:pPr>
          </w:p>
        </w:tc>
        <w:tc>
          <w:tcPr>
            <w:tcW w:w="2345" w:type="dxa"/>
          </w:tcPr>
          <w:p w:rsidR="00ED754F" w:rsidRDefault="00ED754F">
            <w:pPr>
              <w:jc w:val="center"/>
            </w:pPr>
          </w:p>
        </w:tc>
        <w:tc>
          <w:tcPr>
            <w:tcW w:w="2342" w:type="dxa"/>
          </w:tcPr>
          <w:p w:rsidR="00ED754F" w:rsidRDefault="00ED754F">
            <w:pPr>
              <w:jc w:val="center"/>
            </w:pPr>
          </w:p>
        </w:tc>
      </w:tr>
    </w:tbl>
    <w:p w:rsidR="00ED754F" w:rsidRDefault="00ED754F">
      <w:pPr>
        <w:jc w:val="left"/>
        <w:rPr>
          <w:sz w:val="20"/>
          <w:szCs w:val="20"/>
        </w:rPr>
      </w:pPr>
    </w:p>
    <w:sectPr w:rsidR="00ED75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2568"/>
    <w:multiLevelType w:val="multilevel"/>
    <w:tmpl w:val="6958C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F"/>
    <w:rsid w:val="00BF047E"/>
    <w:rsid w:val="00D15A41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77C3B-2E2B-498E-9F8D-3DDC83C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2019-09-12T19:45:00Z</dcterms:created>
  <dcterms:modified xsi:type="dcterms:W3CDTF">2019-09-12T19:45:00Z</dcterms:modified>
</cp:coreProperties>
</file>