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11" w:rsidRPr="00416211" w:rsidRDefault="00416211" w:rsidP="00416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40"/>
          <w:szCs w:val="20"/>
          <w:u w:val="single"/>
        </w:rPr>
        <w:t>M E M O R A N D U M</w:t>
      </w: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>TO: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  <w:t>Randy Poe, Superintendent</w:t>
      </w: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D2FD8">
        <w:rPr>
          <w:rFonts w:ascii="Times New Roman" w:eastAsia="Times New Roman" w:hAnsi="Times New Roman" w:cs="Times New Roman"/>
          <w:b/>
          <w:sz w:val="24"/>
          <w:szCs w:val="20"/>
        </w:rPr>
        <w:t>Ms. Karen Byrd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>, Chairperson</w:t>
      </w: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  <w:t>Board Members</w:t>
      </w: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16211" w:rsidRPr="00416211" w:rsidRDefault="00416211" w:rsidP="00416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BB4E25">
        <w:rPr>
          <w:rFonts w:ascii="Times New Roman" w:eastAsia="Times New Roman" w:hAnsi="Times New Roman" w:cs="Times New Roman"/>
          <w:b/>
          <w:sz w:val="24"/>
          <w:szCs w:val="20"/>
        </w:rPr>
        <w:t xml:space="preserve">September </w:t>
      </w:r>
      <w:r w:rsidR="006103C2">
        <w:rPr>
          <w:rFonts w:ascii="Times New Roman" w:eastAsia="Times New Roman" w:hAnsi="Times New Roman" w:cs="Times New Roman"/>
          <w:b/>
          <w:sz w:val="24"/>
          <w:szCs w:val="20"/>
        </w:rPr>
        <w:t>3,</w:t>
      </w:r>
      <w:bookmarkStart w:id="0" w:name="_GoBack"/>
      <w:bookmarkEnd w:id="0"/>
      <w:r w:rsidR="005B1183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FD2FD8">
        <w:rPr>
          <w:rFonts w:ascii="Times New Roman" w:eastAsia="Times New Roman" w:hAnsi="Times New Roman" w:cs="Times New Roman"/>
          <w:b/>
          <w:sz w:val="24"/>
          <w:szCs w:val="20"/>
        </w:rPr>
        <w:t>2019</w:t>
      </w:r>
    </w:p>
    <w:p w:rsidR="00416211" w:rsidRPr="00416211" w:rsidRDefault="00416211" w:rsidP="0041621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>RE:</w:t>
      </w:r>
      <w:r w:rsidRPr="00416211">
        <w:rPr>
          <w:rFonts w:ascii="Times New Roman" w:eastAsia="Times New Roman" w:hAnsi="Times New Roman" w:cs="Times New Roman"/>
          <w:b/>
          <w:sz w:val="24"/>
          <w:szCs w:val="20"/>
        </w:rPr>
        <w:tab/>
        <w:t>Energy Management Report</w:t>
      </w:r>
    </w:p>
    <w:p w:rsidR="00416211" w:rsidRPr="00416211" w:rsidRDefault="00416211" w:rsidP="0041621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16211" w:rsidRPr="00416211" w:rsidRDefault="00416211" w:rsidP="00416211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16211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102870</wp:posOffset>
                </wp:positionV>
                <wp:extent cx="4853940" cy="180340"/>
                <wp:effectExtent l="13335" t="6985" r="95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539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6ABD" id="Rectangle 1" o:spid="_x0000_s1026" style="position:absolute;margin-left:7.8pt;margin-top:8.1pt;width:382.2pt;height:14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"/>
            </w:pict>
          </mc:Fallback>
        </mc:AlternateContent>
      </w:r>
    </w:p>
    <w:p w:rsidR="00416211" w:rsidRPr="00416211" w:rsidRDefault="00416211" w:rsidP="004162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16211" w:rsidRDefault="0030609D" w:rsidP="00416211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Following f</w:t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4"/>
        </w:rPr>
        <w:t>or your review</w:t>
      </w:r>
      <w:r w:rsidR="0088470B">
        <w:rPr>
          <w:rFonts w:ascii="Times New Roman" w:eastAsia="Times New Roman" w:hAnsi="Times New Roman" w:cs="Times New Roman"/>
          <w:b/>
          <w:sz w:val="24"/>
          <w:szCs w:val="24"/>
        </w:rPr>
        <w:t xml:space="preserve"> is an energy management update, which includes data through</w:t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B4E25">
        <w:rPr>
          <w:rFonts w:ascii="Times New Roman" w:eastAsia="Times New Roman" w:hAnsi="Times New Roman" w:cs="Times New Roman"/>
          <w:b/>
          <w:sz w:val="24"/>
          <w:szCs w:val="24"/>
        </w:rPr>
        <w:t>July</w:t>
      </w:r>
      <w:r w:rsidR="00AE56B7">
        <w:rPr>
          <w:rFonts w:ascii="Times New Roman" w:eastAsia="Times New Roman" w:hAnsi="Times New Roman" w:cs="Times New Roman"/>
          <w:b/>
          <w:sz w:val="24"/>
          <w:szCs w:val="24"/>
        </w:rPr>
        <w:t xml:space="preserve"> o</w:t>
      </w:r>
      <w:r w:rsidR="0084207D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416211" w:rsidRPr="00416211">
        <w:rPr>
          <w:rFonts w:ascii="Times New Roman" w:eastAsia="Times New Roman" w:hAnsi="Times New Roman" w:cs="Times New Roman"/>
          <w:b/>
          <w:sz w:val="24"/>
          <w:szCs w:val="24"/>
        </w:rPr>
        <w:t xml:space="preserve"> the current school year. </w:t>
      </w:r>
      <w:r w:rsidR="00E64598">
        <w:rPr>
          <w:rFonts w:ascii="Times New Roman" w:eastAsia="Times New Roman" w:hAnsi="Times New Roman" w:cs="Times New Roman"/>
          <w:b/>
          <w:sz w:val="24"/>
          <w:szCs w:val="24"/>
        </w:rPr>
        <w:t xml:space="preserve">  Highlights of the report include</w:t>
      </w:r>
      <w:r w:rsidR="00255F3E">
        <w:rPr>
          <w:rFonts w:ascii="Times New Roman" w:eastAsia="Times New Roman" w:hAnsi="Times New Roman" w:cs="Times New Roman"/>
          <w:b/>
          <w:sz w:val="24"/>
          <w:szCs w:val="24"/>
        </w:rPr>
        <w:t xml:space="preserve"> (please refer to attached tables)</w:t>
      </w:r>
      <w:r w:rsidR="00E645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27BD0" w:rsidRDefault="00A27BD0" w:rsidP="00416211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BD0" w:rsidRDefault="00A27BD0" w:rsidP="00A27BD0">
      <w:pPr>
        <w:pStyle w:val="ListParagraph"/>
        <w:numPr>
          <w:ilvl w:val="0"/>
          <w:numId w:val="7"/>
        </w:numPr>
        <w:spacing w:after="0" w:line="240" w:lineRule="auto"/>
        <w:ind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Our overall District EUI (Energy Use Intensity in kBtu/square feet) has dropped to a record low of </w:t>
      </w:r>
      <w:r w:rsidRPr="00A27BD0">
        <w:rPr>
          <w:rFonts w:ascii="Times New Roman" w:eastAsia="Times New Roman" w:hAnsi="Times New Roman" w:cs="Times New Roman"/>
          <w:b/>
          <w:sz w:val="28"/>
          <w:szCs w:val="28"/>
        </w:rPr>
        <w:t>58.1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for the school year 2018/19</w:t>
      </w:r>
      <w:r w:rsidR="00037F1D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This is a 10.3% drop in energy us</w:t>
      </w:r>
      <w:r w:rsidR="00255F3E">
        <w:rPr>
          <w:rFonts w:ascii="Times New Roman" w:eastAsia="Times New Roman" w:hAnsi="Times New Roman" w:cs="Times New Roman"/>
          <w:b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from the previous school year and a 21.5% </w:t>
      </w:r>
      <w:r w:rsidR="00833635">
        <w:rPr>
          <w:rFonts w:ascii="Times New Roman" w:eastAsia="Times New Roman" w:hAnsi="Times New Roman" w:cs="Times New Roman"/>
          <w:b/>
          <w:sz w:val="24"/>
          <w:szCs w:val="24"/>
        </w:rPr>
        <w:t>EUI drop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from our baseline school year of 2009/10.</w:t>
      </w:r>
    </w:p>
    <w:p w:rsidR="00A27BD0" w:rsidRDefault="00A27BD0" w:rsidP="00A27BD0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F3E" w:rsidRDefault="00037F1D" w:rsidP="00A27BD0">
      <w:pPr>
        <w:pStyle w:val="ListParagraph"/>
        <w:numPr>
          <w:ilvl w:val="0"/>
          <w:numId w:val="7"/>
        </w:numPr>
        <w:spacing w:after="0" w:line="240" w:lineRule="auto"/>
        <w:ind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Schools of Note:  </w:t>
      </w:r>
      <w:r w:rsidR="00A27B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55F3E" w:rsidRPr="00255F3E" w:rsidRDefault="00255F3E" w:rsidP="00255F3E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F3E" w:rsidRDefault="00037F1D" w:rsidP="00255F3E">
      <w:pPr>
        <w:pStyle w:val="ListParagraph"/>
        <w:spacing w:after="0" w:line="240" w:lineRule="auto"/>
        <w:ind w:left="288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Mann Elementary had a 32% drop in energy usage </w:t>
      </w:r>
      <w:r w:rsidR="00255F3E">
        <w:rPr>
          <w:rFonts w:ascii="Times New Roman" w:eastAsia="Times New Roman" w:hAnsi="Times New Roman" w:cs="Times New Roman"/>
          <w:b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2018/19 </w:t>
      </w:r>
      <w:r w:rsidR="00255F3E">
        <w:rPr>
          <w:rFonts w:ascii="Times New Roman" w:eastAsia="Times New Roman" w:hAnsi="Times New Roman" w:cs="Times New Roman"/>
          <w:b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compared to 2017/18</w:t>
      </w:r>
      <w:r w:rsidR="00255F3E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This school was ret</w:t>
      </w:r>
      <w:r w:rsidR="00255F3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o-commissioned in the summer of 2018.  </w:t>
      </w:r>
      <w:r w:rsidR="00A27B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55F3E" w:rsidRDefault="00255F3E" w:rsidP="00255F3E">
      <w:pPr>
        <w:pStyle w:val="ListParagraph"/>
        <w:spacing w:after="0" w:line="240" w:lineRule="auto"/>
        <w:ind w:left="288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F3E" w:rsidRDefault="00255F3E" w:rsidP="00255F3E">
      <w:pPr>
        <w:pStyle w:val="ListParagraph"/>
        <w:spacing w:after="0" w:line="240" w:lineRule="auto"/>
        <w:ind w:left="288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Collins Elementary and Stephens Elementary had a 33% and 22% drop in energy usage, respectively.  These schools had HVAC system upgrades in the summer of 2018.  </w:t>
      </w:r>
    </w:p>
    <w:p w:rsidR="00255F3E" w:rsidRDefault="00255F3E" w:rsidP="00255F3E">
      <w:pPr>
        <w:pStyle w:val="ListParagraph"/>
        <w:spacing w:after="0" w:line="240" w:lineRule="auto"/>
        <w:ind w:left="288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255F3E" w:rsidP="00255F3E">
      <w:pPr>
        <w:pStyle w:val="ListParagraph"/>
        <w:spacing w:after="0" w:line="240" w:lineRule="auto"/>
        <w:ind w:left="288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Finally, Goodridge Elementary had 18% drop in energy usage with no HVAC or retro-commissioning projects completed.  Our implementation of our district HVAC policies, set-points and schedules appears to be working.   </w:t>
      </w: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722" w:rsidRDefault="00711722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850" w:rsidRPr="00416211" w:rsidRDefault="00255F3E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</w:t>
      </w:r>
      <w:r w:rsidR="00707850" w:rsidRPr="00416211">
        <w:rPr>
          <w:rFonts w:ascii="Times New Roman" w:eastAsia="Times New Roman" w:hAnsi="Times New Roman" w:cs="Times New Roman"/>
          <w:b/>
          <w:sz w:val="24"/>
          <w:szCs w:val="24"/>
        </w:rPr>
        <w:t>ic McArtor</w:t>
      </w:r>
    </w:p>
    <w:p w:rsidR="00707850" w:rsidRDefault="00707850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6211">
        <w:rPr>
          <w:rFonts w:ascii="Times New Roman" w:eastAsia="Times New Roman" w:hAnsi="Times New Roman" w:cs="Times New Roman"/>
          <w:b/>
          <w:sz w:val="24"/>
          <w:szCs w:val="24"/>
        </w:rPr>
        <w:t>Chief Operating Officer/Deputy Superintendent</w:t>
      </w:r>
    </w:p>
    <w:p w:rsidR="00707850" w:rsidRDefault="00707850" w:rsidP="00707850">
      <w:pPr>
        <w:spacing w:after="0" w:line="240" w:lineRule="auto"/>
        <w:ind w:left="144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868" w:rsidRDefault="007E2868" w:rsidP="007E2868">
      <w:pPr>
        <w:jc w:val="center"/>
        <w:rPr>
          <w:b/>
        </w:rPr>
      </w:pPr>
      <w:r>
        <w:rPr>
          <w:b/>
        </w:rPr>
        <w:t>Boone County Schools Energy Management Update</w:t>
      </w:r>
    </w:p>
    <w:p w:rsidR="00E64598" w:rsidRDefault="00BF1E79" w:rsidP="00656630">
      <w:r w:rsidRPr="00BF1E79">
        <w:rPr>
          <w:b/>
        </w:rPr>
        <w:t>Total Cost and Use:</w:t>
      </w:r>
      <w:r w:rsidR="00656630" w:rsidRPr="00656630">
        <w:t xml:space="preserve"> </w:t>
      </w:r>
    </w:p>
    <w:p w:rsidR="001F35B4" w:rsidRDefault="001F35B4" w:rsidP="00656630">
      <w:r w:rsidRPr="001F35B4">
        <w:rPr>
          <w:noProof/>
        </w:rPr>
        <w:drawing>
          <wp:inline distT="0" distB="0" distL="0" distR="0">
            <wp:extent cx="6499860" cy="18897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B4" w:rsidRDefault="001F35B4" w:rsidP="00656630"/>
    <w:p w:rsidR="00920DE1" w:rsidRDefault="00877D7A" w:rsidP="00656630">
      <w:r>
        <w:rPr>
          <w:b/>
        </w:rPr>
        <w:t>Cr</w:t>
      </w:r>
      <w:r w:rsidR="00E64598" w:rsidRPr="00E64598">
        <w:rPr>
          <w:b/>
        </w:rPr>
        <w:t>edits/Rebates/Incentives: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2420"/>
        <w:gridCol w:w="1240"/>
        <w:gridCol w:w="1200"/>
        <w:gridCol w:w="1219"/>
        <w:gridCol w:w="4260"/>
      </w:tblGrid>
      <w:tr w:rsidR="004341B7" w:rsidRPr="004341B7" w:rsidTr="004341B7">
        <w:trPr>
          <w:trHeight w:val="28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b/>
                <w:bCs/>
                <w:color w:val="000000"/>
              </w:rPr>
              <w:t>Source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b/>
                <w:bCs/>
                <w:color w:val="000000"/>
              </w:rPr>
              <w:t>Type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b/>
                <w:bCs/>
                <w:color w:val="000000"/>
              </w:rPr>
              <w:t>July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b/>
                <w:bCs/>
                <w:color w:val="000000"/>
              </w:rPr>
              <w:t>YTD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b/>
                <w:bCs/>
                <w:color w:val="000000"/>
              </w:rPr>
              <w:t>Details</w:t>
            </w:r>
          </w:p>
        </w:tc>
      </w:tr>
      <w:tr w:rsidR="004341B7" w:rsidRPr="004341B7" w:rsidTr="004341B7">
        <w:trPr>
          <w:trHeight w:val="288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Duke PowerShare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Credit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$0.00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$0.00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Funds were credited directly to Duke electric bill</w:t>
            </w:r>
          </w:p>
        </w:tc>
      </w:tr>
      <w:tr w:rsidR="004341B7" w:rsidRPr="004341B7" w:rsidTr="004341B7">
        <w:trPr>
          <w:trHeight w:val="288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Duke SmartSaver/Owen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Rebates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$0.00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$0.00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Funds were mailed directly to District</w:t>
            </w:r>
          </w:p>
        </w:tc>
      </w:tr>
      <w:tr w:rsidR="004341B7" w:rsidRPr="004341B7" w:rsidTr="004341B7">
        <w:trPr>
          <w:trHeight w:val="50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Duke Foundation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 xml:space="preserve">Grant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$0.00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</w:rPr>
              <w:t>$11,695.85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41B7" w:rsidRPr="004341B7" w:rsidRDefault="004341B7" w:rsidP="00434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341B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Funds will be used for student energy teams and STEM-related initiatives</w:t>
            </w:r>
          </w:p>
        </w:tc>
      </w:tr>
    </w:tbl>
    <w:p w:rsidR="00D80FCE" w:rsidRDefault="00D80FCE" w:rsidP="00656630"/>
    <w:p w:rsidR="00E64598" w:rsidRDefault="002732B4" w:rsidP="00656630">
      <w:pPr>
        <w:rPr>
          <w:b/>
        </w:rPr>
      </w:pPr>
      <w:r>
        <w:rPr>
          <w:b/>
        </w:rPr>
        <w:t>Action Items:</w:t>
      </w:r>
    </w:p>
    <w:p w:rsidR="002732B4" w:rsidRPr="00E64598" w:rsidRDefault="002732B4" w:rsidP="00656630">
      <w:pPr>
        <w:rPr>
          <w:b/>
        </w:rPr>
      </w:pPr>
    </w:p>
    <w:p w:rsidR="00B87592" w:rsidRDefault="00A2582B" w:rsidP="00656630">
      <w:pPr>
        <w:rPr>
          <w:b/>
        </w:rPr>
      </w:pPr>
      <w:r w:rsidRPr="00A2582B">
        <w:drawing>
          <wp:inline distT="0" distB="0" distL="0" distR="0">
            <wp:extent cx="6499860" cy="5638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C1132A" w:rsidRDefault="00C1132A" w:rsidP="00656630">
      <w:pPr>
        <w:rPr>
          <w:b/>
        </w:rPr>
      </w:pPr>
    </w:p>
    <w:p w:rsidR="006C365F" w:rsidRDefault="006C365F" w:rsidP="00C1132A">
      <w:pPr>
        <w:jc w:val="center"/>
        <w:rPr>
          <w:b/>
        </w:rPr>
      </w:pPr>
    </w:p>
    <w:p w:rsidR="00C1132A" w:rsidRDefault="00C1132A" w:rsidP="00C1132A">
      <w:pPr>
        <w:jc w:val="center"/>
        <w:rPr>
          <w:b/>
        </w:rPr>
      </w:pPr>
      <w:r>
        <w:rPr>
          <w:b/>
        </w:rPr>
        <w:t>ATTACHMENT</w:t>
      </w:r>
    </w:p>
    <w:p w:rsidR="00C1132A" w:rsidRDefault="00D96303" w:rsidP="00656630">
      <w:pPr>
        <w:rPr>
          <w:b/>
        </w:rPr>
      </w:pPr>
      <w:r w:rsidRPr="00D96303">
        <w:rPr>
          <w:noProof/>
        </w:rPr>
        <w:drawing>
          <wp:inline distT="0" distB="0" distL="0" distR="0">
            <wp:extent cx="6858000" cy="6702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7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FB6" w:rsidRPr="00C1132A" w:rsidRDefault="00C1132A" w:rsidP="00B90FB6">
      <w:pPr>
        <w:rPr>
          <w:b/>
        </w:rPr>
      </w:pPr>
      <w:r w:rsidRPr="00C1132A">
        <w:rPr>
          <w:b/>
        </w:rPr>
        <w:t xml:space="preserve">Cooling degree days (CDD) are a measure of how much (in degrees), and for how long (in days), the outside air temperature was </w:t>
      </w:r>
      <w:r w:rsidRPr="00C1132A">
        <w:rPr>
          <w:b/>
          <w:i/>
          <w:iCs/>
        </w:rPr>
        <w:t>above</w:t>
      </w:r>
      <w:r w:rsidRPr="00C1132A">
        <w:rPr>
          <w:b/>
        </w:rPr>
        <w:t xml:space="preserve"> a certain level (i.e., 65°F).</w:t>
      </w:r>
      <w:r w:rsidR="00B90FB6">
        <w:rPr>
          <w:b/>
        </w:rPr>
        <w:t xml:space="preserve">  As the above table shows, July 2019 was hotter than July 2018.  </w:t>
      </w:r>
    </w:p>
    <w:p w:rsidR="00C1132A" w:rsidRPr="00C1132A" w:rsidRDefault="00B90FB6" w:rsidP="00C1132A">
      <w:pPr>
        <w:rPr>
          <w:b/>
        </w:rPr>
      </w:pPr>
      <w:r>
        <w:rPr>
          <w:b/>
        </w:rPr>
        <w:t xml:space="preserve"> </w:t>
      </w:r>
    </w:p>
    <w:p w:rsidR="00C1132A" w:rsidRDefault="00C1132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  <w:r>
        <w:rPr>
          <w:noProof/>
        </w:rPr>
        <w:drawing>
          <wp:inline distT="0" distB="0" distL="0" distR="0" wp14:anchorId="5082B476" wp14:editId="13289100">
            <wp:extent cx="6858000" cy="4968240"/>
            <wp:effectExtent l="0" t="0" r="0" b="381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b/>
        </w:rPr>
        <w:br w:type="page"/>
      </w:r>
    </w:p>
    <w:p w:rsidR="002779FA" w:rsidRDefault="002779FA" w:rsidP="00656630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noProof/>
        </w:rPr>
        <w:drawing>
          <wp:inline distT="0" distB="0" distL="0" distR="0" wp14:anchorId="2BF4CEBB" wp14:editId="69ABAD4E">
            <wp:extent cx="4572000" cy="26289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79FA" w:rsidRDefault="002779FA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noProof/>
        </w:rPr>
        <w:drawing>
          <wp:inline distT="0" distB="0" distL="0" distR="0" wp14:anchorId="20E064C9" wp14:editId="5B874118">
            <wp:extent cx="4572000" cy="26289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79FA" w:rsidRDefault="002779FA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noProof/>
        </w:rPr>
        <w:drawing>
          <wp:inline distT="0" distB="0" distL="0" distR="0" wp14:anchorId="32BAC433" wp14:editId="420594EB">
            <wp:extent cx="4572000" cy="26289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2779FA" w:rsidRDefault="002779FA" w:rsidP="00656630">
      <w:pPr>
        <w:rPr>
          <w:b/>
        </w:rPr>
      </w:pPr>
    </w:p>
    <w:p w:rsidR="00F85969" w:rsidRDefault="00F85969" w:rsidP="00656630">
      <w:pPr>
        <w:rPr>
          <w:b/>
        </w:rPr>
      </w:pPr>
    </w:p>
    <w:p w:rsidR="00F85969" w:rsidRDefault="00F85969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noProof/>
        </w:rPr>
        <w:drawing>
          <wp:inline distT="0" distB="0" distL="0" distR="0" wp14:anchorId="1B81AF5D" wp14:editId="593130DD">
            <wp:extent cx="4572000" cy="26289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5969" w:rsidRDefault="00F85969" w:rsidP="00656630">
      <w:pPr>
        <w:rPr>
          <w:b/>
        </w:rPr>
      </w:pPr>
    </w:p>
    <w:p w:rsidR="00F85969" w:rsidRDefault="00F85969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noProof/>
        </w:rPr>
        <w:drawing>
          <wp:inline distT="0" distB="0" distL="0" distR="0" wp14:anchorId="564DF087" wp14:editId="07115FC9">
            <wp:extent cx="4572000" cy="26289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55DC1" w:rsidRDefault="00555DC1" w:rsidP="00656630">
      <w:pPr>
        <w:rPr>
          <w:b/>
        </w:rPr>
      </w:pPr>
    </w:p>
    <w:p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2A5E">
        <w:drawing>
          <wp:inline distT="0" distB="0" distL="0" distR="0" wp14:anchorId="5C2CD9D1" wp14:editId="3FAD11A0">
            <wp:extent cx="1226820" cy="23850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69" w:rsidRDefault="00F85969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79"/>
    <w:rsid w:val="000128DF"/>
    <w:rsid w:val="000237B9"/>
    <w:rsid w:val="0003464A"/>
    <w:rsid w:val="00037F1D"/>
    <w:rsid w:val="00051EB4"/>
    <w:rsid w:val="0005337B"/>
    <w:rsid w:val="00062B81"/>
    <w:rsid w:val="00072BFE"/>
    <w:rsid w:val="00081BB1"/>
    <w:rsid w:val="000A6584"/>
    <w:rsid w:val="000B3A09"/>
    <w:rsid w:val="000B3C4A"/>
    <w:rsid w:val="000C7E4B"/>
    <w:rsid w:val="000D0AA3"/>
    <w:rsid w:val="000F179A"/>
    <w:rsid w:val="0012533C"/>
    <w:rsid w:val="00133505"/>
    <w:rsid w:val="0014741B"/>
    <w:rsid w:val="00154BD0"/>
    <w:rsid w:val="001610C2"/>
    <w:rsid w:val="001640BE"/>
    <w:rsid w:val="00170FFF"/>
    <w:rsid w:val="001E2A55"/>
    <w:rsid w:val="001F35B4"/>
    <w:rsid w:val="00231B04"/>
    <w:rsid w:val="00232323"/>
    <w:rsid w:val="00237CD6"/>
    <w:rsid w:val="00244E0F"/>
    <w:rsid w:val="00255F3E"/>
    <w:rsid w:val="0026204A"/>
    <w:rsid w:val="00265F4C"/>
    <w:rsid w:val="0027166E"/>
    <w:rsid w:val="002732B4"/>
    <w:rsid w:val="002779FA"/>
    <w:rsid w:val="00291B70"/>
    <w:rsid w:val="00292CAD"/>
    <w:rsid w:val="00295495"/>
    <w:rsid w:val="002B3C7D"/>
    <w:rsid w:val="002B3D50"/>
    <w:rsid w:val="002C103A"/>
    <w:rsid w:val="002D73E6"/>
    <w:rsid w:val="002E17FC"/>
    <w:rsid w:val="002F2738"/>
    <w:rsid w:val="0030609D"/>
    <w:rsid w:val="003421EF"/>
    <w:rsid w:val="00350DED"/>
    <w:rsid w:val="003739F3"/>
    <w:rsid w:val="00375A28"/>
    <w:rsid w:val="003804A5"/>
    <w:rsid w:val="00386368"/>
    <w:rsid w:val="003934BE"/>
    <w:rsid w:val="003C257A"/>
    <w:rsid w:val="003C4195"/>
    <w:rsid w:val="003C5876"/>
    <w:rsid w:val="00402422"/>
    <w:rsid w:val="00416211"/>
    <w:rsid w:val="00417815"/>
    <w:rsid w:val="004339E3"/>
    <w:rsid w:val="004341B7"/>
    <w:rsid w:val="0043536F"/>
    <w:rsid w:val="004562B2"/>
    <w:rsid w:val="004815C7"/>
    <w:rsid w:val="004B2760"/>
    <w:rsid w:val="004B37DA"/>
    <w:rsid w:val="004B7FE3"/>
    <w:rsid w:val="004D32C6"/>
    <w:rsid w:val="004D63C3"/>
    <w:rsid w:val="004E79ED"/>
    <w:rsid w:val="004F24C1"/>
    <w:rsid w:val="00502611"/>
    <w:rsid w:val="00503BC5"/>
    <w:rsid w:val="005258C7"/>
    <w:rsid w:val="005307AA"/>
    <w:rsid w:val="00541AF6"/>
    <w:rsid w:val="00543EFE"/>
    <w:rsid w:val="00544DC7"/>
    <w:rsid w:val="005461C1"/>
    <w:rsid w:val="00554ECD"/>
    <w:rsid w:val="00555DC1"/>
    <w:rsid w:val="00563D52"/>
    <w:rsid w:val="00584215"/>
    <w:rsid w:val="00595E8C"/>
    <w:rsid w:val="005A31AC"/>
    <w:rsid w:val="005B1183"/>
    <w:rsid w:val="005B59A6"/>
    <w:rsid w:val="005B64C6"/>
    <w:rsid w:val="005C1B41"/>
    <w:rsid w:val="005E16CF"/>
    <w:rsid w:val="006103C2"/>
    <w:rsid w:val="00614193"/>
    <w:rsid w:val="00617149"/>
    <w:rsid w:val="00617CCA"/>
    <w:rsid w:val="00634164"/>
    <w:rsid w:val="00656630"/>
    <w:rsid w:val="0066728C"/>
    <w:rsid w:val="00680141"/>
    <w:rsid w:val="006834EE"/>
    <w:rsid w:val="0068397C"/>
    <w:rsid w:val="0069784B"/>
    <w:rsid w:val="006B6324"/>
    <w:rsid w:val="006C32B8"/>
    <w:rsid w:val="006C365F"/>
    <w:rsid w:val="00704AA4"/>
    <w:rsid w:val="00707850"/>
    <w:rsid w:val="00711722"/>
    <w:rsid w:val="00725FAF"/>
    <w:rsid w:val="00726367"/>
    <w:rsid w:val="00751ABF"/>
    <w:rsid w:val="00763923"/>
    <w:rsid w:val="00765C88"/>
    <w:rsid w:val="0078266A"/>
    <w:rsid w:val="007904AF"/>
    <w:rsid w:val="007954EE"/>
    <w:rsid w:val="007B2B0D"/>
    <w:rsid w:val="007E2868"/>
    <w:rsid w:val="007E2EA7"/>
    <w:rsid w:val="007F3EA0"/>
    <w:rsid w:val="007F7505"/>
    <w:rsid w:val="008039EA"/>
    <w:rsid w:val="00817C65"/>
    <w:rsid w:val="00833635"/>
    <w:rsid w:val="0084207D"/>
    <w:rsid w:val="008432F5"/>
    <w:rsid w:val="008628D3"/>
    <w:rsid w:val="00864D50"/>
    <w:rsid w:val="00865747"/>
    <w:rsid w:val="0087525C"/>
    <w:rsid w:val="00877D7A"/>
    <w:rsid w:val="00880E47"/>
    <w:rsid w:val="0088470B"/>
    <w:rsid w:val="008856EE"/>
    <w:rsid w:val="00890333"/>
    <w:rsid w:val="008C3A80"/>
    <w:rsid w:val="008C61ED"/>
    <w:rsid w:val="008C6CFD"/>
    <w:rsid w:val="008E4F07"/>
    <w:rsid w:val="0091059F"/>
    <w:rsid w:val="0091639E"/>
    <w:rsid w:val="00920DE1"/>
    <w:rsid w:val="009425DC"/>
    <w:rsid w:val="0094666C"/>
    <w:rsid w:val="009637C0"/>
    <w:rsid w:val="00966A0F"/>
    <w:rsid w:val="0097086F"/>
    <w:rsid w:val="0098192A"/>
    <w:rsid w:val="009B3C0D"/>
    <w:rsid w:val="009E1A03"/>
    <w:rsid w:val="009E54D0"/>
    <w:rsid w:val="009F3232"/>
    <w:rsid w:val="009F4359"/>
    <w:rsid w:val="00A13A11"/>
    <w:rsid w:val="00A2582B"/>
    <w:rsid w:val="00A27BD0"/>
    <w:rsid w:val="00A62682"/>
    <w:rsid w:val="00A711D9"/>
    <w:rsid w:val="00A718FD"/>
    <w:rsid w:val="00A733AE"/>
    <w:rsid w:val="00A92AD2"/>
    <w:rsid w:val="00AA3D92"/>
    <w:rsid w:val="00AC44CC"/>
    <w:rsid w:val="00AD29BD"/>
    <w:rsid w:val="00AE462F"/>
    <w:rsid w:val="00AE56B7"/>
    <w:rsid w:val="00AF1530"/>
    <w:rsid w:val="00AF6BDE"/>
    <w:rsid w:val="00B03092"/>
    <w:rsid w:val="00B050F7"/>
    <w:rsid w:val="00B143D5"/>
    <w:rsid w:val="00B22913"/>
    <w:rsid w:val="00B2374B"/>
    <w:rsid w:val="00B27CA0"/>
    <w:rsid w:val="00B54C1A"/>
    <w:rsid w:val="00B62315"/>
    <w:rsid w:val="00B87592"/>
    <w:rsid w:val="00B90FB6"/>
    <w:rsid w:val="00BB4E25"/>
    <w:rsid w:val="00BC22D4"/>
    <w:rsid w:val="00BC252F"/>
    <w:rsid w:val="00BD0B90"/>
    <w:rsid w:val="00BE08EB"/>
    <w:rsid w:val="00BF0F6A"/>
    <w:rsid w:val="00BF158E"/>
    <w:rsid w:val="00BF1E79"/>
    <w:rsid w:val="00C1132A"/>
    <w:rsid w:val="00C117CD"/>
    <w:rsid w:val="00C253BF"/>
    <w:rsid w:val="00C60F60"/>
    <w:rsid w:val="00C638E1"/>
    <w:rsid w:val="00C65117"/>
    <w:rsid w:val="00C829B4"/>
    <w:rsid w:val="00C90137"/>
    <w:rsid w:val="00CB04C5"/>
    <w:rsid w:val="00CB2A40"/>
    <w:rsid w:val="00CC6447"/>
    <w:rsid w:val="00CF2858"/>
    <w:rsid w:val="00D03CC4"/>
    <w:rsid w:val="00D05022"/>
    <w:rsid w:val="00D15D15"/>
    <w:rsid w:val="00D2479D"/>
    <w:rsid w:val="00D3300C"/>
    <w:rsid w:val="00D347FF"/>
    <w:rsid w:val="00D57EEA"/>
    <w:rsid w:val="00D63834"/>
    <w:rsid w:val="00D80FCE"/>
    <w:rsid w:val="00D93432"/>
    <w:rsid w:val="00D96303"/>
    <w:rsid w:val="00DA5622"/>
    <w:rsid w:val="00DB00EB"/>
    <w:rsid w:val="00DB0A76"/>
    <w:rsid w:val="00DB1A78"/>
    <w:rsid w:val="00DB786A"/>
    <w:rsid w:val="00DC208E"/>
    <w:rsid w:val="00E07D96"/>
    <w:rsid w:val="00E16460"/>
    <w:rsid w:val="00E24414"/>
    <w:rsid w:val="00E27DA7"/>
    <w:rsid w:val="00E3058D"/>
    <w:rsid w:val="00E44A31"/>
    <w:rsid w:val="00E5443D"/>
    <w:rsid w:val="00E64598"/>
    <w:rsid w:val="00E70141"/>
    <w:rsid w:val="00E70D26"/>
    <w:rsid w:val="00E93F37"/>
    <w:rsid w:val="00EA6C90"/>
    <w:rsid w:val="00EC7C94"/>
    <w:rsid w:val="00ED1213"/>
    <w:rsid w:val="00ED6D6F"/>
    <w:rsid w:val="00EE73A4"/>
    <w:rsid w:val="00F01F29"/>
    <w:rsid w:val="00F1693E"/>
    <w:rsid w:val="00F21554"/>
    <w:rsid w:val="00F47F4D"/>
    <w:rsid w:val="00F53577"/>
    <w:rsid w:val="00F61404"/>
    <w:rsid w:val="00F70762"/>
    <w:rsid w:val="00F81F34"/>
    <w:rsid w:val="00F85449"/>
    <w:rsid w:val="00F85969"/>
    <w:rsid w:val="00F97723"/>
    <w:rsid w:val="00FA73F7"/>
    <w:rsid w:val="00FC6368"/>
    <w:rsid w:val="00FD2FD8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[EUI Comparison Graph.xls]Report!PivotTable1</c:name>
    <c:fmtId val="5"/>
  </c:pivotSource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School's EUI for 2018-19 (KBTU/Sq. Ft.)</a:t>
            </a:r>
          </a:p>
        </c:rich>
      </c:tx>
      <c:layout/>
      <c:overlay val="0"/>
    </c:title>
    <c:autoTitleDeleted val="0"/>
    <c:pivotFmts>
      <c:pivotFmt>
        <c:idx val="0"/>
        <c:marker>
          <c:symbol val="none"/>
        </c:marker>
        <c:dLbl>
          <c:idx val="0"/>
          <c:numFmt formatCode="#,##0.00" sourceLinked="0"/>
          <c:spPr>
            <a:noFill/>
            <a:ln w="25400">
              <a:noFill/>
            </a:ln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  <c:dLbl>
          <c:idx val="0"/>
          <c:numFmt formatCode="#,##0.00" sourceLinked="0"/>
          <c:spPr>
            <a:noFill/>
            <a:ln w="25400">
              <a:noFill/>
            </a:ln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marker>
          <c:symbol val="none"/>
        </c:marker>
        <c:dLbl>
          <c:idx val="0"/>
          <c:numFmt formatCode="#,##0.00" sourceLinked="0"/>
          <c:spPr>
            <a:noFill/>
            <a:ln w="25400">
              <a:noFill/>
            </a:ln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Report!$B$3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dLbls>
            <c:numFmt formatCode="#,##0.0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Report!$A$4:$A$27</c:f>
              <c:strCache>
                <c:ptCount val="24"/>
                <c:pt idx="0">
                  <c:v>Florence Elementary</c:v>
                </c:pt>
                <c:pt idx="1">
                  <c:v>Burlington Elementary</c:v>
                </c:pt>
                <c:pt idx="2">
                  <c:v>Kelly Elementary</c:v>
                </c:pt>
                <c:pt idx="3">
                  <c:v>Ballyshannon</c:v>
                </c:pt>
                <c:pt idx="4">
                  <c:v>Longbranch Elementary</c:v>
                </c:pt>
                <c:pt idx="5">
                  <c:v>Thornwilde Elementary</c:v>
                </c:pt>
                <c:pt idx="6">
                  <c:v>Camp Ernst Middle School</c:v>
                </c:pt>
                <c:pt idx="7">
                  <c:v>Cooper High School</c:v>
                </c:pt>
                <c:pt idx="8">
                  <c:v>Collins Elementary</c:v>
                </c:pt>
                <c:pt idx="9">
                  <c:v>Stephens Elementary</c:v>
                </c:pt>
                <c:pt idx="10">
                  <c:v>Conner Middle School</c:v>
                </c:pt>
                <c:pt idx="11">
                  <c:v>Conner High School</c:v>
                </c:pt>
                <c:pt idx="12">
                  <c:v>R A Jones Middle School</c:v>
                </c:pt>
                <c:pt idx="13">
                  <c:v>Mann Elementary</c:v>
                </c:pt>
                <c:pt idx="14">
                  <c:v>Ryle High School</c:v>
                </c:pt>
                <c:pt idx="15">
                  <c:v>Boone County High School</c:v>
                </c:pt>
                <c:pt idx="16">
                  <c:v>North Pointe Elementary</c:v>
                </c:pt>
                <c:pt idx="17">
                  <c:v>Goodridge Elementary</c:v>
                </c:pt>
                <c:pt idx="18">
                  <c:v>Ockerman Middle School</c:v>
                </c:pt>
                <c:pt idx="19">
                  <c:v>Gray Middle School</c:v>
                </c:pt>
                <c:pt idx="20">
                  <c:v>Erpenbeck Elementary</c:v>
                </c:pt>
                <c:pt idx="21">
                  <c:v>New Haven Elementary</c:v>
                </c:pt>
                <c:pt idx="22">
                  <c:v>Yealey Elementary</c:v>
                </c:pt>
                <c:pt idx="23">
                  <c:v>Ockerman Elementary</c:v>
                </c:pt>
              </c:strCache>
            </c:strRef>
          </c:cat>
          <c:val>
            <c:numRef>
              <c:f>Report!$B$4:$B$27</c:f>
              <c:numCache>
                <c:formatCode>0.000</c:formatCode>
                <c:ptCount val="24"/>
                <c:pt idx="0">
                  <c:v>32.370800000000003</c:v>
                </c:pt>
                <c:pt idx="1">
                  <c:v>32.719799999999999</c:v>
                </c:pt>
                <c:pt idx="2">
                  <c:v>34.722000000000001</c:v>
                </c:pt>
                <c:pt idx="3">
                  <c:v>37.442399999999999</c:v>
                </c:pt>
                <c:pt idx="4">
                  <c:v>37.898299999999999</c:v>
                </c:pt>
                <c:pt idx="5">
                  <c:v>40.326599999999999</c:v>
                </c:pt>
                <c:pt idx="6">
                  <c:v>42.947699999999998</c:v>
                </c:pt>
                <c:pt idx="7">
                  <c:v>50.387999999999998</c:v>
                </c:pt>
                <c:pt idx="8">
                  <c:v>55.137300000000003</c:v>
                </c:pt>
                <c:pt idx="9">
                  <c:v>55.985599999999998</c:v>
                </c:pt>
                <c:pt idx="10">
                  <c:v>58.201700000000002</c:v>
                </c:pt>
                <c:pt idx="11">
                  <c:v>62.806199999999997</c:v>
                </c:pt>
                <c:pt idx="12">
                  <c:v>62.976300000000002</c:v>
                </c:pt>
                <c:pt idx="13">
                  <c:v>63.545400000000001</c:v>
                </c:pt>
                <c:pt idx="14">
                  <c:v>63.683300000000003</c:v>
                </c:pt>
                <c:pt idx="15">
                  <c:v>64.611400000000003</c:v>
                </c:pt>
                <c:pt idx="16">
                  <c:v>66.854799999999997</c:v>
                </c:pt>
                <c:pt idx="17">
                  <c:v>67.932400000000001</c:v>
                </c:pt>
                <c:pt idx="18">
                  <c:v>69.856399999999994</c:v>
                </c:pt>
                <c:pt idx="19">
                  <c:v>69.976900000000001</c:v>
                </c:pt>
                <c:pt idx="20">
                  <c:v>71.078100000000006</c:v>
                </c:pt>
                <c:pt idx="21">
                  <c:v>79.509299999999996</c:v>
                </c:pt>
                <c:pt idx="22">
                  <c:v>81.332800000000006</c:v>
                </c:pt>
                <c:pt idx="23">
                  <c:v>81.984200000000001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7691584"/>
        <c:axId val="457691192"/>
      </c:barChart>
      <c:catAx>
        <c:axId val="457691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en-US"/>
          </a:p>
        </c:txPr>
        <c:crossAx val="457691192"/>
        <c:crosses val="autoZero"/>
        <c:auto val="0"/>
        <c:lblAlgn val="ctr"/>
        <c:lblOffset val="100"/>
        <c:noMultiLvlLbl val="0"/>
      </c:catAx>
      <c:valAx>
        <c:axId val="457691192"/>
        <c:scaling>
          <c:orientation val="minMax"/>
        </c:scaling>
        <c:delete val="0"/>
        <c:axPos val="b"/>
        <c:numFmt formatCode="0.0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4576915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n-US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Elem Schools - EUI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Sheet1!$B$6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strRef>
              <c:f>Sheet1!$A$7:$A$11</c:f>
              <c:strCache>
                <c:ptCount val="5"/>
                <c:pt idx="0">
                  <c:v>BES</c:v>
                </c:pt>
                <c:pt idx="1">
                  <c:v>CES</c:v>
                </c:pt>
                <c:pt idx="2">
                  <c:v>EES</c:v>
                </c:pt>
                <c:pt idx="3">
                  <c:v>FES</c:v>
                </c:pt>
                <c:pt idx="4">
                  <c:v>GES</c:v>
                </c:pt>
              </c:strCache>
            </c:strRef>
          </c:cat>
          <c:val>
            <c:numRef>
              <c:f>Sheet1!$B$7:$B$11</c:f>
              <c:numCache>
                <c:formatCode>0.00</c:formatCode>
                <c:ptCount val="5"/>
                <c:pt idx="0">
                  <c:v>34.903599999999997</c:v>
                </c:pt>
                <c:pt idx="1">
                  <c:v>83.678600000000003</c:v>
                </c:pt>
                <c:pt idx="2">
                  <c:v>77.901700000000005</c:v>
                </c:pt>
                <c:pt idx="3">
                  <c:v>32.030799999999999</c:v>
                </c:pt>
                <c:pt idx="4">
                  <c:v>83.202799999999996</c:v>
                </c:pt>
              </c:numCache>
            </c:numRef>
          </c:val>
        </c:ser>
        <c:ser>
          <c:idx val="3"/>
          <c:order val="1"/>
          <c:tx>
            <c:strRef>
              <c:f>Sheet1!$C$6</c:f>
              <c:strCache>
                <c:ptCount val="1"/>
                <c:pt idx="0">
                  <c:v>2018-19 </c:v>
                </c:pt>
              </c:strCache>
            </c:strRef>
          </c:tx>
          <c:invertIfNegative val="0"/>
          <c:cat>
            <c:strRef>
              <c:f>Sheet1!$A$7:$A$11</c:f>
              <c:strCache>
                <c:ptCount val="5"/>
                <c:pt idx="0">
                  <c:v>BES</c:v>
                </c:pt>
                <c:pt idx="1">
                  <c:v>CES</c:v>
                </c:pt>
                <c:pt idx="2">
                  <c:v>EES</c:v>
                </c:pt>
                <c:pt idx="3">
                  <c:v>FES</c:v>
                </c:pt>
                <c:pt idx="4">
                  <c:v>GES</c:v>
                </c:pt>
              </c:strCache>
            </c:strRef>
          </c:cat>
          <c:val>
            <c:numRef>
              <c:f>Sheet1!$C$7:$C$11</c:f>
              <c:numCache>
                <c:formatCode>0.00</c:formatCode>
                <c:ptCount val="5"/>
                <c:pt idx="0">
                  <c:v>32.719799999999999</c:v>
                </c:pt>
                <c:pt idx="1">
                  <c:v>55.137300000000003</c:v>
                </c:pt>
                <c:pt idx="2">
                  <c:v>71.078100000000006</c:v>
                </c:pt>
                <c:pt idx="3">
                  <c:v>32.370800000000003</c:v>
                </c:pt>
                <c:pt idx="4">
                  <c:v>67.932400000000001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7692760"/>
        <c:axId val="457692368"/>
      </c:barChart>
      <c:catAx>
        <c:axId val="457692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57692368"/>
        <c:crosses val="autoZero"/>
        <c:auto val="1"/>
        <c:lblAlgn val="ctr"/>
        <c:lblOffset val="100"/>
        <c:noMultiLvlLbl val="0"/>
      </c:catAx>
      <c:valAx>
        <c:axId val="457692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EUI - kBTU/Sq.Ft.</a:t>
                </a:r>
              </a:p>
            </c:rich>
          </c:tx>
          <c:layout/>
          <c:overlay val="0"/>
        </c:title>
        <c:numFmt formatCode="0.00" sourceLinked="1"/>
        <c:majorTickMark val="none"/>
        <c:minorTickMark val="none"/>
        <c:tickLblPos val="nextTo"/>
        <c:crossAx val="4576927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lt1"/>
    </a:solidFill>
    <a:ln w="1905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Elem Schools - EUI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Sheet1!$B$6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strRef>
              <c:f>Sheet1!$A$7:$A$11</c:f>
              <c:strCache>
                <c:ptCount val="5"/>
                <c:pt idx="0">
                  <c:v>KES</c:v>
                </c:pt>
                <c:pt idx="1">
                  <c:v>LES</c:v>
                </c:pt>
                <c:pt idx="2">
                  <c:v>MES</c:v>
                </c:pt>
                <c:pt idx="3">
                  <c:v>NHES</c:v>
                </c:pt>
                <c:pt idx="4">
                  <c:v>NPES</c:v>
                </c:pt>
              </c:strCache>
            </c:strRef>
          </c:cat>
          <c:val>
            <c:numRef>
              <c:f>Sheet1!$B$7:$B$11</c:f>
              <c:numCache>
                <c:formatCode>0.00</c:formatCode>
                <c:ptCount val="5"/>
                <c:pt idx="0">
                  <c:v>36.532299999999999</c:v>
                </c:pt>
                <c:pt idx="1">
                  <c:v>38.059600000000003</c:v>
                </c:pt>
                <c:pt idx="2">
                  <c:v>93.676599999999993</c:v>
                </c:pt>
                <c:pt idx="3">
                  <c:v>87.846100000000007</c:v>
                </c:pt>
                <c:pt idx="4">
                  <c:v>78.776700000000005</c:v>
                </c:pt>
              </c:numCache>
            </c:numRef>
          </c:val>
        </c:ser>
        <c:ser>
          <c:idx val="3"/>
          <c:order val="1"/>
          <c:tx>
            <c:strRef>
              <c:f>Sheet1!$C$6</c:f>
              <c:strCache>
                <c:ptCount val="1"/>
                <c:pt idx="0">
                  <c:v>2018-19 </c:v>
                </c:pt>
              </c:strCache>
            </c:strRef>
          </c:tx>
          <c:invertIfNegative val="0"/>
          <c:cat>
            <c:strRef>
              <c:f>Sheet1!$A$7:$A$11</c:f>
              <c:strCache>
                <c:ptCount val="5"/>
                <c:pt idx="0">
                  <c:v>KES</c:v>
                </c:pt>
                <c:pt idx="1">
                  <c:v>LES</c:v>
                </c:pt>
                <c:pt idx="2">
                  <c:v>MES</c:v>
                </c:pt>
                <c:pt idx="3">
                  <c:v>NHES</c:v>
                </c:pt>
                <c:pt idx="4">
                  <c:v>NPES</c:v>
                </c:pt>
              </c:strCache>
            </c:strRef>
          </c:cat>
          <c:val>
            <c:numRef>
              <c:f>Sheet1!$C$7:$C$11</c:f>
              <c:numCache>
                <c:formatCode>0.00</c:formatCode>
                <c:ptCount val="5"/>
                <c:pt idx="0">
                  <c:v>34.722000000000001</c:v>
                </c:pt>
                <c:pt idx="1">
                  <c:v>37.898299999999999</c:v>
                </c:pt>
                <c:pt idx="2">
                  <c:v>63.545400000000001</c:v>
                </c:pt>
                <c:pt idx="3">
                  <c:v>79.509299999999996</c:v>
                </c:pt>
                <c:pt idx="4">
                  <c:v>66.854799999999997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6226440"/>
        <c:axId val="396226832"/>
      </c:barChart>
      <c:catAx>
        <c:axId val="396226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96226832"/>
        <c:crosses val="autoZero"/>
        <c:auto val="1"/>
        <c:lblAlgn val="ctr"/>
        <c:lblOffset val="100"/>
        <c:noMultiLvlLbl val="0"/>
      </c:catAx>
      <c:valAx>
        <c:axId val="3962268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EUI - kBTU/Sq.Ft.</a:t>
                </a:r>
              </a:p>
            </c:rich>
          </c:tx>
          <c:layout/>
          <c:overlay val="0"/>
        </c:title>
        <c:numFmt formatCode="0.00" sourceLinked="1"/>
        <c:majorTickMark val="none"/>
        <c:minorTickMark val="none"/>
        <c:tickLblPos val="nextTo"/>
        <c:crossAx val="3962264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lt1"/>
    </a:solidFill>
    <a:ln w="1905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Elem Schools - EUI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Sheet1!$B$6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strRef>
              <c:f>Sheet1!$A$7:$A$10</c:f>
              <c:strCache>
                <c:ptCount val="4"/>
                <c:pt idx="0">
                  <c:v>OES</c:v>
                </c:pt>
                <c:pt idx="1">
                  <c:v>SES</c:v>
                </c:pt>
                <c:pt idx="2">
                  <c:v>TES</c:v>
                </c:pt>
                <c:pt idx="3">
                  <c:v>YES</c:v>
                </c:pt>
              </c:strCache>
            </c:strRef>
          </c:cat>
          <c:val>
            <c:numRef>
              <c:f>Sheet1!$B$7:$B$10</c:f>
              <c:numCache>
                <c:formatCode>0.00</c:formatCode>
                <c:ptCount val="4"/>
                <c:pt idx="0">
                  <c:v>82.644999999999996</c:v>
                </c:pt>
                <c:pt idx="1">
                  <c:v>72.014899999999997</c:v>
                </c:pt>
                <c:pt idx="2">
                  <c:v>40.7776</c:v>
                </c:pt>
                <c:pt idx="3">
                  <c:v>84.997</c:v>
                </c:pt>
              </c:numCache>
            </c:numRef>
          </c:val>
        </c:ser>
        <c:ser>
          <c:idx val="3"/>
          <c:order val="1"/>
          <c:tx>
            <c:strRef>
              <c:f>Sheet1!$C$6</c:f>
              <c:strCache>
                <c:ptCount val="1"/>
                <c:pt idx="0">
                  <c:v>2018-19 </c:v>
                </c:pt>
              </c:strCache>
            </c:strRef>
          </c:tx>
          <c:invertIfNegative val="0"/>
          <c:cat>
            <c:strRef>
              <c:f>Sheet1!$A$7:$A$10</c:f>
              <c:strCache>
                <c:ptCount val="4"/>
                <c:pt idx="0">
                  <c:v>OES</c:v>
                </c:pt>
                <c:pt idx="1">
                  <c:v>SES</c:v>
                </c:pt>
                <c:pt idx="2">
                  <c:v>TES</c:v>
                </c:pt>
                <c:pt idx="3">
                  <c:v>YES</c:v>
                </c:pt>
              </c:strCache>
            </c:strRef>
          </c:cat>
          <c:val>
            <c:numRef>
              <c:f>Sheet1!$C$7:$C$10</c:f>
              <c:numCache>
                <c:formatCode>0.00</c:formatCode>
                <c:ptCount val="4"/>
                <c:pt idx="0">
                  <c:v>81.984200000000001</c:v>
                </c:pt>
                <c:pt idx="1">
                  <c:v>55.985599999999998</c:v>
                </c:pt>
                <c:pt idx="2">
                  <c:v>40.326599999999999</c:v>
                </c:pt>
                <c:pt idx="3">
                  <c:v>81.332800000000006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312024"/>
        <c:axId val="116312416"/>
      </c:barChart>
      <c:catAx>
        <c:axId val="116312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6312416"/>
        <c:crosses val="autoZero"/>
        <c:auto val="1"/>
        <c:lblAlgn val="ctr"/>
        <c:lblOffset val="100"/>
        <c:noMultiLvlLbl val="0"/>
      </c:catAx>
      <c:valAx>
        <c:axId val="1163124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EUI - kBTU/Sq.Ft.</a:t>
                </a:r>
              </a:p>
            </c:rich>
          </c:tx>
          <c:layout/>
          <c:overlay val="0"/>
        </c:title>
        <c:numFmt formatCode="0.00" sourceLinked="1"/>
        <c:majorTickMark val="none"/>
        <c:minorTickMark val="none"/>
        <c:tickLblPos val="nextTo"/>
        <c:crossAx val="1163120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lt1"/>
    </a:solidFill>
    <a:ln w="1905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Middle</a:t>
            </a:r>
            <a:r>
              <a:rPr lang="en-US" baseline="0"/>
              <a:t> Schools </a:t>
            </a:r>
            <a:r>
              <a:rPr lang="en-US"/>
              <a:t>- EUI Comparison</a:t>
            </a:r>
          </a:p>
        </c:rich>
      </c:tx>
      <c:layout>
        <c:manualLayout>
          <c:xMode val="edge"/>
          <c:yMode val="edge"/>
          <c:x val="0.23998600174978127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Sheet1!$B$6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strRef>
              <c:f>Sheet1!$A$7:$A$11</c:f>
              <c:strCache>
                <c:ptCount val="5"/>
                <c:pt idx="0">
                  <c:v>CEMS</c:v>
                </c:pt>
                <c:pt idx="1">
                  <c:v>CMS</c:v>
                </c:pt>
                <c:pt idx="2">
                  <c:v>GMS</c:v>
                </c:pt>
                <c:pt idx="3">
                  <c:v>OMS</c:v>
                </c:pt>
                <c:pt idx="4">
                  <c:v>RAJ</c:v>
                </c:pt>
              </c:strCache>
            </c:strRef>
          </c:cat>
          <c:val>
            <c:numRef>
              <c:f>Sheet1!$B$7:$B$11</c:f>
              <c:numCache>
                <c:formatCode>0.00</c:formatCode>
                <c:ptCount val="5"/>
                <c:pt idx="0">
                  <c:v>42.947699999999998</c:v>
                </c:pt>
                <c:pt idx="1">
                  <c:v>60.471400000000003</c:v>
                </c:pt>
                <c:pt idx="2">
                  <c:v>77.5124</c:v>
                </c:pt>
                <c:pt idx="3">
                  <c:v>73.663600000000002</c:v>
                </c:pt>
                <c:pt idx="4">
                  <c:v>57.455300000000001</c:v>
                </c:pt>
              </c:numCache>
            </c:numRef>
          </c:val>
        </c:ser>
        <c:ser>
          <c:idx val="3"/>
          <c:order val="1"/>
          <c:tx>
            <c:strRef>
              <c:f>Sheet1!$C$6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cat>
            <c:strRef>
              <c:f>Sheet1!$A$7:$A$11</c:f>
              <c:strCache>
                <c:ptCount val="5"/>
                <c:pt idx="0">
                  <c:v>CEMS</c:v>
                </c:pt>
                <c:pt idx="1">
                  <c:v>CMS</c:v>
                </c:pt>
                <c:pt idx="2">
                  <c:v>GMS</c:v>
                </c:pt>
                <c:pt idx="3">
                  <c:v>OMS</c:v>
                </c:pt>
                <c:pt idx="4">
                  <c:v>RAJ</c:v>
                </c:pt>
              </c:strCache>
            </c:strRef>
          </c:cat>
          <c:val>
            <c:numRef>
              <c:f>Sheet1!$C$7:$C$11</c:f>
              <c:numCache>
                <c:formatCode>0.00</c:formatCode>
                <c:ptCount val="5"/>
                <c:pt idx="0">
                  <c:v>42.947699999999998</c:v>
                </c:pt>
                <c:pt idx="1">
                  <c:v>58.201700000000002</c:v>
                </c:pt>
                <c:pt idx="2">
                  <c:v>69.976900000000001</c:v>
                </c:pt>
                <c:pt idx="3">
                  <c:v>69.856399999999994</c:v>
                </c:pt>
                <c:pt idx="4">
                  <c:v>62.976300000000002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1745424"/>
        <c:axId val="381745816"/>
      </c:barChart>
      <c:catAx>
        <c:axId val="38174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81745816"/>
        <c:crosses val="autoZero"/>
        <c:auto val="1"/>
        <c:lblAlgn val="ctr"/>
        <c:lblOffset val="100"/>
        <c:noMultiLvlLbl val="0"/>
      </c:catAx>
      <c:valAx>
        <c:axId val="3817458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EUI  - kBTU/Sq.Ft.</a:t>
                </a:r>
              </a:p>
            </c:rich>
          </c:tx>
          <c:layout/>
          <c:overlay val="0"/>
        </c:title>
        <c:numFmt formatCode="0.00" sourceLinked="1"/>
        <c:majorTickMark val="none"/>
        <c:minorTickMark val="none"/>
        <c:tickLblPos val="nextTo"/>
        <c:crossAx val="3817454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lt1"/>
    </a:solidFill>
    <a:ln w="1905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High Schools - EUI Comparison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Sheet1!$B$6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strRef>
              <c:f>Sheet1!$A$7:$A$10</c:f>
              <c:strCache>
                <c:ptCount val="4"/>
                <c:pt idx="0">
                  <c:v>BCHS</c:v>
                </c:pt>
                <c:pt idx="1">
                  <c:v>CHS</c:v>
                </c:pt>
                <c:pt idx="2">
                  <c:v>RCHS</c:v>
                </c:pt>
                <c:pt idx="3">
                  <c:v>RHS</c:v>
                </c:pt>
              </c:strCache>
            </c:strRef>
          </c:cat>
          <c:val>
            <c:numRef>
              <c:f>Sheet1!$B$7:$B$10</c:f>
              <c:numCache>
                <c:formatCode>0.00</c:formatCode>
                <c:ptCount val="4"/>
                <c:pt idx="0">
                  <c:v>72.6494</c:v>
                </c:pt>
                <c:pt idx="1">
                  <c:v>64.808099999999996</c:v>
                </c:pt>
                <c:pt idx="2">
                  <c:v>49.5443</c:v>
                </c:pt>
                <c:pt idx="3">
                  <c:v>71.151700000000005</c:v>
                </c:pt>
              </c:numCache>
            </c:numRef>
          </c:val>
        </c:ser>
        <c:ser>
          <c:idx val="3"/>
          <c:order val="1"/>
          <c:tx>
            <c:strRef>
              <c:f>Sheet1!$C$6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cat>
            <c:strRef>
              <c:f>Sheet1!$A$7:$A$10</c:f>
              <c:strCache>
                <c:ptCount val="4"/>
                <c:pt idx="0">
                  <c:v>BCHS</c:v>
                </c:pt>
                <c:pt idx="1">
                  <c:v>CHS</c:v>
                </c:pt>
                <c:pt idx="2">
                  <c:v>RCHS</c:v>
                </c:pt>
                <c:pt idx="3">
                  <c:v>RHS</c:v>
                </c:pt>
              </c:strCache>
            </c:strRef>
          </c:cat>
          <c:val>
            <c:numRef>
              <c:f>Sheet1!$C$7:$C$10</c:f>
              <c:numCache>
                <c:formatCode>0.00</c:formatCode>
                <c:ptCount val="4"/>
                <c:pt idx="0">
                  <c:v>64.611400000000003</c:v>
                </c:pt>
                <c:pt idx="1">
                  <c:v>62.806199999999997</c:v>
                </c:pt>
                <c:pt idx="2">
                  <c:v>50.387999999999998</c:v>
                </c:pt>
                <c:pt idx="3">
                  <c:v>63.683300000000003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5412280"/>
        <c:axId val="395412672"/>
      </c:barChart>
      <c:catAx>
        <c:axId val="395412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95412672"/>
        <c:crosses val="autoZero"/>
        <c:auto val="1"/>
        <c:lblAlgn val="ctr"/>
        <c:lblOffset val="100"/>
        <c:noMultiLvlLbl val="0"/>
      </c:catAx>
      <c:valAx>
        <c:axId val="3954126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EUI - kBTU/Sq Ft</a:t>
                </a:r>
              </a:p>
            </c:rich>
          </c:tx>
          <c:layout/>
          <c:overlay val="0"/>
        </c:title>
        <c:numFmt formatCode="0.00" sourceLinked="1"/>
        <c:majorTickMark val="none"/>
        <c:minorTickMark val="none"/>
        <c:tickLblPos val="nextTo"/>
        <c:crossAx val="3954122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chemeClr val="lt1"/>
    </a:solidFill>
    <a:ln w="1905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AC69-DDBF-4107-90E2-6D71551D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Razor, Dan</dc:creator>
  <cp:keywords/>
  <dc:description/>
  <cp:lastModifiedBy>Lenihan, Karen</cp:lastModifiedBy>
  <cp:revision>19</cp:revision>
  <cp:lastPrinted>2015-02-04T16:18:00Z</cp:lastPrinted>
  <dcterms:created xsi:type="dcterms:W3CDTF">2019-08-30T18:59:00Z</dcterms:created>
  <dcterms:modified xsi:type="dcterms:W3CDTF">2019-09-03T16:14:00Z</dcterms:modified>
</cp:coreProperties>
</file>