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77E27">
        <w:rPr>
          <w:rFonts w:ascii="Times New Roman" w:hAnsi="Times New Roman"/>
          <w:b/>
        </w:rPr>
        <w:t>JULY 3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FC3862">
        <w:rPr>
          <w:rFonts w:ascii="Times New Roman" w:hAnsi="Times New Roman"/>
          <w:b/>
        </w:rPr>
        <w:t>BOONE COUNTY HIGH SCHOOL TEXTBOOK PURCHASES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FC3862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We have reviewed each textbook purchase request for purchases and they are within grant guidelines.</w:t>
      </w:r>
    </w:p>
    <w:p w:rsidR="00FC3862" w:rsidRDefault="00FC3862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textbook plan for each school is available in the Learning Support Services office for review.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FC3862">
        <w:rPr>
          <w:rFonts w:ascii="Arial" w:hAnsi="Arial"/>
          <w:sz w:val="24"/>
        </w:rPr>
        <w:t>the textbook purchase plan for Boone County High School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>
      <w:bookmarkStart w:id="0" w:name="_GoBack"/>
      <w:bookmarkEnd w:id="0"/>
    </w:p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DBFD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2399-2B74-49A1-9314-985B6C2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2019-07-03T14:56:00Z</dcterms:created>
  <dcterms:modified xsi:type="dcterms:W3CDTF">2019-07-03T14:59:00Z</dcterms:modified>
</cp:coreProperties>
</file>