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2BF9C52A" w:rsidR="000F65B7" w:rsidRPr="00706A8C" w:rsidRDefault="00712C0E" w:rsidP="00706A8C">
            <w:pPr>
              <w:jc w:val="center"/>
              <w:rPr>
                <w:rFonts w:asciiTheme="minorHAnsi" w:hAnsiTheme="minorHAnsi"/>
                <w:sz w:val="20"/>
                <w:szCs w:val="20"/>
              </w:rPr>
            </w:pPr>
            <w:r>
              <w:rPr>
                <w:rFonts w:asciiTheme="minorHAnsi" w:hAnsiTheme="minorHAnsi"/>
                <w:sz w:val="20"/>
                <w:szCs w:val="20"/>
              </w:rPr>
              <w:t>A.10.06.15</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sidR="00A15E18">
              <w:rPr>
                <w:rFonts w:asciiTheme="minorHAnsi" w:hAnsiTheme="minorHAnsi" w:cs="Tahoma"/>
                <w:sz w:val="20"/>
              </w:rPr>
            </w:r>
            <w:r w:rsidR="00A15E18">
              <w:rPr>
                <w:rFonts w:asciiTheme="minorHAnsi" w:hAnsiTheme="minorHAnsi" w:cs="Tahoma"/>
                <w:sz w:val="20"/>
              </w:rPr>
              <w:fldChar w:fldCharType="separate"/>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sidR="00A15E18">
              <w:rPr>
                <w:rFonts w:asciiTheme="minorHAnsi" w:hAnsiTheme="minorHAnsi" w:cs="Tahoma"/>
                <w:sz w:val="20"/>
              </w:rPr>
            </w:r>
            <w:r w:rsidR="00A15E18">
              <w:rPr>
                <w:rFonts w:asciiTheme="minorHAnsi" w:hAnsiTheme="minorHAnsi" w:cs="Tahoma"/>
                <w:sz w:val="20"/>
              </w:rPr>
              <w:fldChar w:fldCharType="separate"/>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3636BD12" w:rsidR="000F65B7" w:rsidRPr="00712C0E" w:rsidRDefault="009D01BB">
            <w:pPr>
              <w:rPr>
                <w:rFonts w:asciiTheme="minorHAnsi" w:hAnsiTheme="minorHAnsi"/>
              </w:rPr>
            </w:pPr>
            <w:r>
              <w:rPr>
                <w:rFonts w:asciiTheme="minorHAnsi" w:hAnsiTheme="minorHAnsi"/>
              </w:rPr>
              <w:t>Performance Based Credit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AD4597">
        <w:trPr>
          <w:trHeight w:val="41"/>
        </w:trPr>
        <w:tc>
          <w:tcPr>
            <w:tcW w:w="11538" w:type="dxa"/>
            <w:tcBorders>
              <w:top w:val="single" w:sz="12" w:space="0" w:color="auto"/>
            </w:tcBorders>
          </w:tcPr>
          <w:p w14:paraId="6F332971" w14:textId="455396F7" w:rsidR="009D01BB" w:rsidRPr="009D01BB" w:rsidRDefault="009D01BB" w:rsidP="009D01BB">
            <w:pPr>
              <w:pStyle w:val="Default"/>
              <w:rPr>
                <w:rFonts w:asciiTheme="minorHAnsi" w:hAnsiTheme="minorHAnsi"/>
                <w:sz w:val="28"/>
                <w:szCs w:val="28"/>
              </w:rPr>
            </w:pPr>
            <w:r w:rsidRPr="009D01BB">
              <w:rPr>
                <w:rFonts w:asciiTheme="minorHAnsi" w:hAnsiTheme="minorHAnsi"/>
                <w:sz w:val="23"/>
                <w:szCs w:val="23"/>
              </w:rPr>
              <w:t xml:space="preserve">In addition to Carnegie Units, </w:t>
            </w:r>
            <w:r>
              <w:rPr>
                <w:rFonts w:asciiTheme="minorHAnsi" w:hAnsiTheme="minorHAnsi"/>
                <w:sz w:val="23"/>
                <w:szCs w:val="23"/>
              </w:rPr>
              <w:t>Pikeville Junior High/High School</w:t>
            </w:r>
            <w:r w:rsidRPr="009D01BB">
              <w:rPr>
                <w:rFonts w:asciiTheme="minorHAnsi" w:hAnsiTheme="minorHAnsi"/>
                <w:sz w:val="23"/>
                <w:szCs w:val="23"/>
              </w:rPr>
              <w:t xml:space="preserve"> students may earn credit toward graduation through the following methods consistent with </w:t>
            </w:r>
            <w:r>
              <w:rPr>
                <w:rFonts w:asciiTheme="minorHAnsi" w:hAnsiTheme="minorHAnsi"/>
                <w:sz w:val="23"/>
                <w:szCs w:val="23"/>
              </w:rPr>
              <w:t>Pikeville Independent Schools</w:t>
            </w:r>
            <w:r w:rsidRPr="009D01BB">
              <w:rPr>
                <w:rFonts w:asciiTheme="minorHAnsi" w:hAnsiTheme="minorHAnsi"/>
                <w:sz w:val="23"/>
                <w:szCs w:val="23"/>
              </w:rPr>
              <w:t xml:space="preserve"> Policy 08.113</w:t>
            </w:r>
            <w:r>
              <w:rPr>
                <w:rFonts w:asciiTheme="minorHAnsi" w:hAnsiTheme="minorHAnsi"/>
                <w:sz w:val="23"/>
                <w:szCs w:val="23"/>
              </w:rPr>
              <w:t>1.AP.1</w:t>
            </w:r>
            <w:r w:rsidRPr="009D01BB">
              <w:rPr>
                <w:rFonts w:asciiTheme="minorHAnsi" w:hAnsiTheme="minorHAnsi"/>
                <w:sz w:val="23"/>
                <w:szCs w:val="23"/>
              </w:rPr>
              <w:t xml:space="preserve">. </w:t>
            </w:r>
          </w:p>
          <w:p w14:paraId="107B70B9" w14:textId="77777777" w:rsidR="009D01BB" w:rsidRDefault="009D01BB" w:rsidP="009D01BB">
            <w:pPr>
              <w:pStyle w:val="Default"/>
              <w:rPr>
                <w:rFonts w:asciiTheme="minorHAnsi" w:hAnsiTheme="minorHAnsi"/>
                <w:b/>
                <w:bCs/>
                <w:sz w:val="23"/>
                <w:szCs w:val="23"/>
              </w:rPr>
            </w:pPr>
          </w:p>
          <w:p w14:paraId="1B0AD3EB" w14:textId="5675057C" w:rsidR="009D01BB" w:rsidRPr="009D01BB" w:rsidRDefault="009D01BB" w:rsidP="008E2567">
            <w:pPr>
              <w:pStyle w:val="Default"/>
              <w:pageBreakBefore/>
              <w:rPr>
                <w:rFonts w:asciiTheme="minorHAnsi" w:hAnsiTheme="minorHAnsi"/>
                <w:sz w:val="23"/>
                <w:szCs w:val="23"/>
              </w:rPr>
            </w:pPr>
            <w:r w:rsidRPr="009D01BB">
              <w:rPr>
                <w:rFonts w:asciiTheme="minorHAnsi" w:hAnsiTheme="minorHAnsi"/>
                <w:b/>
                <w:bCs/>
                <w:sz w:val="23"/>
                <w:szCs w:val="23"/>
              </w:rPr>
              <w:t xml:space="preserve">TESTING OUT </w:t>
            </w:r>
            <w:r w:rsidRPr="009D01BB">
              <w:rPr>
                <w:rFonts w:asciiTheme="minorHAnsi" w:hAnsiTheme="minorHAnsi"/>
                <w:sz w:val="23"/>
                <w:szCs w:val="23"/>
              </w:rPr>
              <w:t xml:space="preserve">is an option in which students take a Comprehensive Course Exam to receive course credit. </w:t>
            </w:r>
          </w:p>
          <w:p w14:paraId="340C6C99" w14:textId="5051C4CB" w:rsidR="008E2567" w:rsidRDefault="009D01BB" w:rsidP="008E2567">
            <w:pPr>
              <w:pStyle w:val="Default"/>
              <w:numPr>
                <w:ilvl w:val="0"/>
                <w:numId w:val="14"/>
              </w:numPr>
              <w:spacing w:after="27"/>
              <w:rPr>
                <w:rFonts w:asciiTheme="minorHAnsi" w:hAnsiTheme="minorHAnsi"/>
                <w:sz w:val="23"/>
                <w:szCs w:val="23"/>
              </w:rPr>
            </w:pPr>
            <w:r w:rsidRPr="009D01BB">
              <w:rPr>
                <w:rFonts w:asciiTheme="minorHAnsi" w:hAnsiTheme="minorHAnsi"/>
                <w:sz w:val="23"/>
                <w:szCs w:val="23"/>
              </w:rPr>
              <w:t>Exams shall be prepared by the department and submitted to the Principal</w:t>
            </w:r>
            <w:r w:rsidR="000662E6">
              <w:rPr>
                <w:rFonts w:asciiTheme="minorHAnsi" w:hAnsiTheme="minorHAnsi"/>
                <w:sz w:val="23"/>
                <w:szCs w:val="23"/>
              </w:rPr>
              <w:t xml:space="preserve"> </w:t>
            </w:r>
            <w:r w:rsidR="000662E6" w:rsidRPr="001E2DE7">
              <w:rPr>
                <w:rFonts w:asciiTheme="minorHAnsi" w:hAnsiTheme="minorHAnsi"/>
                <w:color w:val="auto"/>
                <w:sz w:val="23"/>
                <w:szCs w:val="23"/>
              </w:rPr>
              <w:t>and Department Chair</w:t>
            </w:r>
            <w:r w:rsidRPr="001E2DE7">
              <w:rPr>
                <w:rFonts w:asciiTheme="minorHAnsi" w:hAnsiTheme="minorHAnsi"/>
                <w:color w:val="auto"/>
                <w:sz w:val="23"/>
                <w:szCs w:val="23"/>
              </w:rPr>
              <w:t xml:space="preserve"> </w:t>
            </w:r>
            <w:r w:rsidRPr="009D01BB">
              <w:rPr>
                <w:rFonts w:asciiTheme="minorHAnsi" w:hAnsiTheme="minorHAnsi"/>
                <w:sz w:val="23"/>
                <w:szCs w:val="23"/>
              </w:rPr>
              <w:t xml:space="preserve">for review. </w:t>
            </w:r>
          </w:p>
          <w:p w14:paraId="60820766" w14:textId="551F0AE7" w:rsidR="008E2567" w:rsidRDefault="009D01BB" w:rsidP="009D01BB">
            <w:pPr>
              <w:pStyle w:val="Default"/>
              <w:numPr>
                <w:ilvl w:val="0"/>
                <w:numId w:val="14"/>
              </w:numPr>
              <w:spacing w:after="27"/>
              <w:rPr>
                <w:rFonts w:asciiTheme="minorHAnsi" w:hAnsiTheme="minorHAnsi"/>
                <w:sz w:val="23"/>
                <w:szCs w:val="23"/>
              </w:rPr>
            </w:pPr>
            <w:r w:rsidRPr="009D01BB">
              <w:rPr>
                <w:rFonts w:asciiTheme="minorHAnsi" w:hAnsiTheme="minorHAnsi"/>
                <w:sz w:val="23"/>
                <w:szCs w:val="23"/>
              </w:rPr>
              <w:t xml:space="preserve">Exams for students wishing to “Test Out” will be scheduled for all students seeking to receive credit through this option. </w:t>
            </w:r>
          </w:p>
          <w:p w14:paraId="4ED18E44" w14:textId="77777777" w:rsidR="008E2567" w:rsidRDefault="009D01BB" w:rsidP="009D01BB">
            <w:pPr>
              <w:pStyle w:val="Default"/>
              <w:numPr>
                <w:ilvl w:val="0"/>
                <w:numId w:val="14"/>
              </w:numPr>
              <w:spacing w:after="27"/>
              <w:rPr>
                <w:rFonts w:asciiTheme="minorHAnsi" w:hAnsiTheme="minorHAnsi"/>
                <w:sz w:val="23"/>
                <w:szCs w:val="23"/>
              </w:rPr>
            </w:pPr>
            <w:r w:rsidRPr="008E2567">
              <w:rPr>
                <w:rFonts w:asciiTheme="minorHAnsi" w:hAnsiTheme="minorHAnsi"/>
                <w:sz w:val="23"/>
                <w:szCs w:val="23"/>
              </w:rPr>
              <w:t xml:space="preserve">Results of the test are final. There is no appeal process for testing out. </w:t>
            </w:r>
          </w:p>
          <w:p w14:paraId="06C8E368" w14:textId="22F23003" w:rsidR="008E2567" w:rsidRDefault="009D01BB" w:rsidP="009D01BB">
            <w:pPr>
              <w:pStyle w:val="Default"/>
              <w:numPr>
                <w:ilvl w:val="0"/>
                <w:numId w:val="14"/>
              </w:numPr>
              <w:spacing w:after="27"/>
              <w:rPr>
                <w:rFonts w:asciiTheme="minorHAnsi" w:hAnsiTheme="minorHAnsi"/>
                <w:sz w:val="23"/>
                <w:szCs w:val="23"/>
              </w:rPr>
            </w:pPr>
            <w:r w:rsidRPr="008E2567">
              <w:rPr>
                <w:rFonts w:asciiTheme="minorHAnsi" w:hAnsiTheme="minorHAnsi"/>
                <w:sz w:val="23"/>
                <w:szCs w:val="23"/>
              </w:rPr>
              <w:t xml:space="preserve">Only one test date for each test per school year will be scheduled. </w:t>
            </w:r>
            <w:r w:rsidR="00E92D0A">
              <w:rPr>
                <w:rFonts w:asciiTheme="minorHAnsi" w:hAnsiTheme="minorHAnsi"/>
                <w:sz w:val="23"/>
                <w:szCs w:val="23"/>
              </w:rPr>
              <w:t xml:space="preserve"> Special circumstances will be subject to approval by school administration.</w:t>
            </w:r>
          </w:p>
          <w:p w14:paraId="3B6D45C1" w14:textId="583E95D2" w:rsidR="008E2567" w:rsidRPr="001E2DE7" w:rsidRDefault="009D01BB" w:rsidP="009D01BB">
            <w:pPr>
              <w:pStyle w:val="Default"/>
              <w:numPr>
                <w:ilvl w:val="0"/>
                <w:numId w:val="14"/>
              </w:numPr>
              <w:spacing w:after="27"/>
              <w:rPr>
                <w:rFonts w:asciiTheme="minorHAnsi" w:hAnsiTheme="minorHAnsi"/>
                <w:color w:val="auto"/>
                <w:sz w:val="23"/>
                <w:szCs w:val="23"/>
              </w:rPr>
            </w:pPr>
            <w:r w:rsidRPr="008E2567">
              <w:rPr>
                <w:rFonts w:asciiTheme="minorHAnsi" w:hAnsiTheme="minorHAnsi"/>
                <w:sz w:val="23"/>
                <w:szCs w:val="23"/>
              </w:rPr>
              <w:t xml:space="preserve">A </w:t>
            </w:r>
            <w:r w:rsidR="00FB4F89">
              <w:rPr>
                <w:rFonts w:asciiTheme="minorHAnsi" w:hAnsiTheme="minorHAnsi"/>
                <w:sz w:val="23"/>
                <w:szCs w:val="23"/>
              </w:rPr>
              <w:t xml:space="preserve">score greater than or equal </w:t>
            </w:r>
            <w:r w:rsidR="00FB4F89" w:rsidRPr="001E2DE7">
              <w:rPr>
                <w:rFonts w:asciiTheme="minorHAnsi" w:hAnsiTheme="minorHAnsi"/>
                <w:color w:val="auto"/>
                <w:sz w:val="23"/>
                <w:szCs w:val="23"/>
              </w:rPr>
              <w:t xml:space="preserve">to </w:t>
            </w:r>
            <w:r w:rsidR="000662E6" w:rsidRPr="001E2DE7">
              <w:rPr>
                <w:rFonts w:asciiTheme="minorHAnsi" w:hAnsiTheme="minorHAnsi"/>
                <w:color w:val="auto"/>
                <w:sz w:val="23"/>
                <w:szCs w:val="23"/>
              </w:rPr>
              <w:t>90%</w:t>
            </w:r>
            <w:r w:rsidRPr="001E2DE7">
              <w:rPr>
                <w:rFonts w:asciiTheme="minorHAnsi" w:hAnsiTheme="minorHAnsi"/>
                <w:color w:val="auto"/>
                <w:sz w:val="23"/>
                <w:szCs w:val="23"/>
              </w:rPr>
              <w:t xml:space="preserve"> is required for successful completion</w:t>
            </w:r>
            <w:r w:rsidR="000662E6" w:rsidRPr="001E2DE7">
              <w:rPr>
                <w:rFonts w:asciiTheme="minorHAnsi" w:hAnsiTheme="minorHAnsi"/>
                <w:color w:val="auto"/>
                <w:sz w:val="23"/>
                <w:szCs w:val="23"/>
              </w:rPr>
              <w:t xml:space="preserve"> and score will serve as grade for the 1</w:t>
            </w:r>
            <w:r w:rsidR="000662E6" w:rsidRPr="001E2DE7">
              <w:rPr>
                <w:rFonts w:asciiTheme="minorHAnsi" w:hAnsiTheme="minorHAnsi"/>
                <w:color w:val="auto"/>
                <w:sz w:val="23"/>
                <w:szCs w:val="23"/>
                <w:vertAlign w:val="superscript"/>
              </w:rPr>
              <w:t>st</w:t>
            </w:r>
            <w:r w:rsidR="000662E6" w:rsidRPr="001E2DE7">
              <w:rPr>
                <w:rFonts w:asciiTheme="minorHAnsi" w:hAnsiTheme="minorHAnsi"/>
                <w:color w:val="auto"/>
                <w:sz w:val="23"/>
                <w:szCs w:val="23"/>
              </w:rPr>
              <w:t xml:space="preserve"> and 2</w:t>
            </w:r>
            <w:r w:rsidR="000662E6" w:rsidRPr="001E2DE7">
              <w:rPr>
                <w:rFonts w:asciiTheme="minorHAnsi" w:hAnsiTheme="minorHAnsi"/>
                <w:color w:val="auto"/>
                <w:sz w:val="23"/>
                <w:szCs w:val="23"/>
                <w:vertAlign w:val="superscript"/>
              </w:rPr>
              <w:t>nd</w:t>
            </w:r>
            <w:r w:rsidR="000662E6" w:rsidRPr="001E2DE7">
              <w:rPr>
                <w:rFonts w:asciiTheme="minorHAnsi" w:hAnsiTheme="minorHAnsi"/>
                <w:color w:val="auto"/>
                <w:sz w:val="23"/>
                <w:szCs w:val="23"/>
              </w:rPr>
              <w:t xml:space="preserve"> semester grade to be calculated in his/her GPA</w:t>
            </w:r>
            <w:r w:rsidR="00A15E18">
              <w:rPr>
                <w:rFonts w:asciiTheme="minorHAnsi" w:hAnsiTheme="minorHAnsi"/>
                <w:color w:val="auto"/>
                <w:sz w:val="23"/>
                <w:szCs w:val="23"/>
              </w:rPr>
              <w:t xml:space="preserve"> </w:t>
            </w:r>
            <w:r w:rsidR="00A15E18">
              <w:rPr>
                <w:rFonts w:asciiTheme="minorHAnsi" w:hAnsiTheme="minorHAnsi"/>
                <w:b/>
                <w:color w:val="auto"/>
                <w:sz w:val="23"/>
                <w:szCs w:val="23"/>
              </w:rPr>
              <w:t xml:space="preserve">for high school courses only. </w:t>
            </w:r>
            <w:bookmarkStart w:id="2" w:name="_GoBack"/>
            <w:bookmarkEnd w:id="2"/>
          </w:p>
          <w:p w14:paraId="52AEF76E" w14:textId="77777777" w:rsidR="008E2567" w:rsidRDefault="009D01BB" w:rsidP="009D01BB">
            <w:pPr>
              <w:pStyle w:val="Default"/>
              <w:numPr>
                <w:ilvl w:val="0"/>
                <w:numId w:val="14"/>
              </w:numPr>
              <w:spacing w:after="27"/>
              <w:rPr>
                <w:rFonts w:asciiTheme="minorHAnsi" w:hAnsiTheme="minorHAnsi"/>
                <w:sz w:val="23"/>
                <w:szCs w:val="23"/>
              </w:rPr>
            </w:pPr>
            <w:r w:rsidRPr="008E2567">
              <w:rPr>
                <w:rFonts w:asciiTheme="minorHAnsi" w:hAnsiTheme="minorHAnsi"/>
                <w:sz w:val="23"/>
                <w:szCs w:val="23"/>
              </w:rPr>
              <w:t xml:space="preserve">Students testing out of a class in the areas of Math, Science, Social Studies, and Language Arts must be enrolled in a class within that area each year prior to completion of the state assessment in that area. </w:t>
            </w:r>
          </w:p>
          <w:p w14:paraId="7213C8DF" w14:textId="48C09A9C" w:rsidR="008E2567" w:rsidRDefault="009D01BB" w:rsidP="009D01BB">
            <w:pPr>
              <w:pStyle w:val="Default"/>
              <w:numPr>
                <w:ilvl w:val="0"/>
                <w:numId w:val="14"/>
              </w:numPr>
              <w:spacing w:after="27"/>
              <w:rPr>
                <w:rFonts w:asciiTheme="minorHAnsi" w:hAnsiTheme="minorHAnsi"/>
                <w:sz w:val="23"/>
                <w:szCs w:val="23"/>
              </w:rPr>
            </w:pPr>
            <w:r w:rsidRPr="008E2567">
              <w:rPr>
                <w:rFonts w:asciiTheme="minorHAnsi" w:hAnsiTheme="minorHAnsi"/>
                <w:sz w:val="23"/>
                <w:szCs w:val="23"/>
              </w:rPr>
              <w:t xml:space="preserve">If a student desires credit toward graduation for successful completion of the Comprehensive Course Exam he/she must make that request in writing to the principal. The principal may, after consultation with the department chair in the particular discipline, award credit to the student for the successful completion of the Comprehensive Course Exam. </w:t>
            </w:r>
          </w:p>
          <w:p w14:paraId="27CBA1DB" w14:textId="71B1BE9B" w:rsidR="009D01BB" w:rsidRDefault="009D01BB" w:rsidP="009D01BB">
            <w:pPr>
              <w:pStyle w:val="Default"/>
              <w:numPr>
                <w:ilvl w:val="0"/>
                <w:numId w:val="14"/>
              </w:numPr>
              <w:spacing w:after="27"/>
              <w:rPr>
                <w:rFonts w:asciiTheme="minorHAnsi" w:hAnsiTheme="minorHAnsi"/>
                <w:sz w:val="23"/>
                <w:szCs w:val="23"/>
              </w:rPr>
            </w:pPr>
            <w:r w:rsidRPr="008E2567">
              <w:rPr>
                <w:rFonts w:asciiTheme="minorHAnsi" w:hAnsiTheme="minorHAnsi"/>
                <w:sz w:val="23"/>
                <w:szCs w:val="23"/>
              </w:rPr>
              <w:t xml:space="preserve">If credit is awarded a grade will be assigned that reflects the student’s score on the Comprehensive Course Exam and is consistent with the grading policy of </w:t>
            </w:r>
            <w:r w:rsidR="00FA23B3">
              <w:rPr>
                <w:rFonts w:asciiTheme="minorHAnsi" w:hAnsiTheme="minorHAnsi"/>
                <w:sz w:val="23"/>
                <w:szCs w:val="23"/>
              </w:rPr>
              <w:t>PJHS/PHS</w:t>
            </w:r>
            <w:r w:rsidRPr="008E2567">
              <w:rPr>
                <w:rFonts w:asciiTheme="minorHAnsi" w:hAnsiTheme="minorHAnsi"/>
                <w:sz w:val="23"/>
                <w:szCs w:val="23"/>
              </w:rPr>
              <w:t xml:space="preserve">. </w:t>
            </w:r>
          </w:p>
          <w:p w14:paraId="3AF01D69" w14:textId="0921783A" w:rsidR="007925FD" w:rsidRPr="00C77A1C" w:rsidRDefault="007925FD" w:rsidP="009D01BB">
            <w:pPr>
              <w:pStyle w:val="Default"/>
              <w:numPr>
                <w:ilvl w:val="0"/>
                <w:numId w:val="14"/>
              </w:numPr>
              <w:spacing w:after="27"/>
              <w:rPr>
                <w:rFonts w:asciiTheme="minorHAnsi" w:hAnsiTheme="minorHAnsi"/>
                <w:sz w:val="23"/>
                <w:szCs w:val="23"/>
              </w:rPr>
            </w:pPr>
            <w:r w:rsidRPr="00C77A1C">
              <w:rPr>
                <w:rFonts w:asciiTheme="minorHAnsi" w:hAnsiTheme="minorHAnsi"/>
                <w:sz w:val="23"/>
                <w:szCs w:val="23"/>
              </w:rPr>
              <w:t xml:space="preserve">If there is a state-mandated End of Course (EOC) assessment, the student must take the exam in the year credit is awarded (currently Algebra II, English II, </w:t>
            </w:r>
            <w:proofErr w:type="gramStart"/>
            <w:r w:rsidR="00BD3989" w:rsidRPr="00C77A1C">
              <w:rPr>
                <w:rFonts w:asciiTheme="minorHAnsi" w:hAnsiTheme="minorHAnsi"/>
                <w:sz w:val="23"/>
                <w:szCs w:val="23"/>
              </w:rPr>
              <w:t>Biology</w:t>
            </w:r>
            <w:proofErr w:type="gramEnd"/>
            <w:r w:rsidR="00BD3989" w:rsidRPr="00C77A1C">
              <w:rPr>
                <w:rFonts w:asciiTheme="minorHAnsi" w:hAnsiTheme="minorHAnsi"/>
                <w:sz w:val="23"/>
                <w:szCs w:val="23"/>
              </w:rPr>
              <w:t>, US History).</w:t>
            </w:r>
          </w:p>
          <w:p w14:paraId="4A0D149E" w14:textId="77777777" w:rsidR="009D01BB" w:rsidRPr="009D01BB" w:rsidRDefault="009D01BB" w:rsidP="009D01BB">
            <w:pPr>
              <w:pStyle w:val="Default"/>
              <w:rPr>
                <w:rFonts w:asciiTheme="minorHAnsi" w:hAnsiTheme="minorHAnsi"/>
                <w:sz w:val="23"/>
                <w:szCs w:val="23"/>
              </w:rPr>
            </w:pPr>
          </w:p>
          <w:p w14:paraId="6A3026EF" w14:textId="1E15E7D3" w:rsidR="000F65B7" w:rsidRPr="00AD4597" w:rsidRDefault="000F65B7" w:rsidP="00FB4F89">
            <w:pPr>
              <w:pStyle w:val="Default"/>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028531D4" w14:textId="77777777" w:rsidTr="00AD4597">
        <w:trPr>
          <w:trHeight w:val="179"/>
        </w:trPr>
        <w:tc>
          <w:tcPr>
            <w:tcW w:w="11538" w:type="dxa"/>
          </w:tcPr>
          <w:p w14:paraId="10B8787E" w14:textId="794DC029" w:rsidR="00B900CA" w:rsidRDefault="00B900CA">
            <w:pPr>
              <w:rPr>
                <w:rFonts w:asciiTheme="minorHAnsi" w:hAnsiTheme="minorHAnsi" w:cs="Tahoma"/>
                <w:sz w:val="20"/>
              </w:rPr>
            </w:pPr>
            <w:r>
              <w:rPr>
                <w:rFonts w:asciiTheme="minorHAnsi" w:hAnsiTheme="minorHAnsi" w:cs="Tahoma"/>
                <w:sz w:val="20"/>
              </w:rPr>
              <w:t xml:space="preserve">Date of First Reading: </w:t>
            </w:r>
            <w:r w:rsidR="008E2567">
              <w:rPr>
                <w:rFonts w:asciiTheme="minorHAnsi" w:hAnsiTheme="minorHAnsi" w:cs="Tahoma"/>
                <w:sz w:val="20"/>
                <w:u w:val="single"/>
              </w:rPr>
              <w:t>July 7, 2011</w:t>
            </w:r>
          </w:p>
          <w:p w14:paraId="0FF32982" w14:textId="7D8883F4" w:rsidR="000F65B7" w:rsidRPr="00B900CA" w:rsidRDefault="00B900CA">
            <w:pPr>
              <w:rPr>
                <w:rFonts w:asciiTheme="minorHAnsi" w:hAnsiTheme="minorHAnsi" w:cs="Tahoma"/>
                <w:sz w:val="20"/>
              </w:rPr>
            </w:pPr>
            <w:r>
              <w:rPr>
                <w:rFonts w:asciiTheme="minorHAnsi" w:hAnsiTheme="minorHAnsi" w:cs="Tahoma"/>
                <w:sz w:val="20"/>
              </w:rPr>
              <w:t xml:space="preserve">Date Adopted: </w:t>
            </w:r>
            <w:r w:rsidR="003244EA" w:rsidRPr="003244EA">
              <w:rPr>
                <w:rFonts w:asciiTheme="minorHAnsi" w:hAnsiTheme="minorHAnsi" w:cs="Tahoma"/>
                <w:sz w:val="20"/>
                <w:u w:val="single"/>
              </w:rPr>
              <w:t>August 2, 2011</w:t>
            </w:r>
          </w:p>
          <w:p w14:paraId="7E8C0862" w14:textId="444F927B" w:rsidR="000F65B7" w:rsidRDefault="00B900CA">
            <w:pPr>
              <w:rPr>
                <w:rFonts w:asciiTheme="minorHAnsi" w:hAnsiTheme="minorHAnsi" w:cs="Tahoma"/>
                <w:sz w:val="20"/>
                <w:u w:val="single"/>
              </w:rPr>
            </w:pPr>
            <w:r>
              <w:rPr>
                <w:rFonts w:asciiTheme="minorHAnsi" w:hAnsiTheme="minorHAnsi" w:cs="Tahoma"/>
                <w:sz w:val="20"/>
              </w:rPr>
              <w:t>Date</w:t>
            </w:r>
            <w:r w:rsidR="00832CE5">
              <w:rPr>
                <w:rFonts w:asciiTheme="minorHAnsi" w:hAnsiTheme="minorHAnsi" w:cs="Tahoma"/>
                <w:sz w:val="20"/>
              </w:rPr>
              <w:t xml:space="preserve"> of First</w:t>
            </w:r>
            <w:r>
              <w:rPr>
                <w:rFonts w:asciiTheme="minorHAnsi" w:hAnsiTheme="minorHAnsi" w:cs="Tahoma"/>
                <w:sz w:val="20"/>
              </w:rPr>
              <w:t xml:space="preserve"> Amended</w:t>
            </w:r>
            <w:r w:rsidR="00832CE5">
              <w:rPr>
                <w:rFonts w:asciiTheme="minorHAnsi" w:hAnsiTheme="minorHAnsi" w:cs="Tahoma"/>
                <w:sz w:val="20"/>
              </w:rPr>
              <w:t xml:space="preserve"> Reading</w:t>
            </w:r>
            <w:r>
              <w:rPr>
                <w:rFonts w:asciiTheme="minorHAnsi" w:hAnsiTheme="minorHAnsi" w:cs="Tahoma"/>
                <w:sz w:val="20"/>
              </w:rPr>
              <w:t>:</w:t>
            </w:r>
            <w:r w:rsidR="006E57AF">
              <w:rPr>
                <w:rFonts w:asciiTheme="minorHAnsi" w:hAnsiTheme="minorHAnsi" w:cs="Tahoma"/>
                <w:sz w:val="20"/>
              </w:rPr>
              <w:t xml:space="preserve"> </w:t>
            </w:r>
            <w:r w:rsidR="00832CE5">
              <w:rPr>
                <w:rFonts w:asciiTheme="minorHAnsi" w:hAnsiTheme="minorHAnsi" w:cs="Tahoma"/>
                <w:sz w:val="20"/>
                <w:u w:val="single"/>
              </w:rPr>
              <w:t>August 2</w:t>
            </w:r>
            <w:r w:rsidR="006E57AF" w:rsidRPr="006E57AF">
              <w:rPr>
                <w:rFonts w:asciiTheme="minorHAnsi" w:hAnsiTheme="minorHAnsi" w:cs="Tahoma"/>
                <w:sz w:val="20"/>
                <w:u w:val="single"/>
              </w:rPr>
              <w:t>, 2012</w:t>
            </w:r>
            <w:r w:rsidR="001E2DE7">
              <w:rPr>
                <w:rFonts w:asciiTheme="minorHAnsi" w:hAnsiTheme="minorHAnsi" w:cs="Tahoma"/>
                <w:sz w:val="20"/>
                <w:u w:val="single"/>
              </w:rPr>
              <w:t>, April 8, 2019</w:t>
            </w:r>
          </w:p>
          <w:p w14:paraId="1ADB1C30" w14:textId="4533261E" w:rsidR="0019179E" w:rsidRPr="005F7FB3" w:rsidRDefault="0019179E">
            <w:pPr>
              <w:rPr>
                <w:rFonts w:asciiTheme="minorHAnsi" w:hAnsiTheme="minorHAnsi" w:cs="Tahoma"/>
                <w:sz w:val="20"/>
              </w:rPr>
            </w:pPr>
            <w:r w:rsidRPr="0019179E">
              <w:rPr>
                <w:rFonts w:asciiTheme="minorHAnsi" w:hAnsiTheme="minorHAnsi" w:cs="Tahoma"/>
                <w:sz w:val="20"/>
              </w:rPr>
              <w:t xml:space="preserve">Date of Second Amended Reading: </w:t>
            </w:r>
            <w:r>
              <w:rPr>
                <w:rFonts w:asciiTheme="minorHAnsi" w:hAnsiTheme="minorHAnsi" w:cs="Tahoma"/>
                <w:sz w:val="20"/>
                <w:u w:val="single"/>
              </w:rPr>
              <w:t>August 13, 2012</w:t>
            </w:r>
            <w:r w:rsidR="001E2DE7">
              <w:rPr>
                <w:rFonts w:asciiTheme="minorHAnsi" w:hAnsiTheme="minorHAnsi" w:cs="Tahoma"/>
                <w:sz w:val="20"/>
                <w:u w:val="single"/>
              </w:rPr>
              <w:t>, May 13, 2019</w:t>
            </w:r>
          </w:p>
          <w:p w14:paraId="5D2AA597" w14:textId="77777777" w:rsidR="000F65B7" w:rsidRPr="005F7FB3" w:rsidRDefault="000F65B7">
            <w:pPr>
              <w:rPr>
                <w:rFonts w:asciiTheme="minorHAnsi" w:hAnsiTheme="minorHAnsi" w:cs="Tahoma"/>
                <w:sz w:val="20"/>
              </w:rPr>
            </w:pPr>
          </w:p>
          <w:p w14:paraId="481F73C9" w14:textId="77777777" w:rsidR="00B900CA" w:rsidRDefault="00B900CA" w:rsidP="00B900CA">
            <w:pPr>
              <w:jc w:val="center"/>
              <w:rPr>
                <w:rFonts w:asciiTheme="minorHAnsi" w:hAnsiTheme="minorHAnsi" w:cs="Tahoma"/>
                <w:sz w:val="20"/>
                <w:u w:val="single"/>
              </w:rPr>
            </w:pPr>
            <w:r w:rsidRPr="00B900CA">
              <w:rPr>
                <w:rFonts w:asciiTheme="minorHAnsi" w:hAnsiTheme="minorHAnsi" w:cs="Tahoma"/>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03A"/>
    <w:multiLevelType w:val="hybridMultilevel"/>
    <w:tmpl w:val="2B9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CFB"/>
    <w:multiLevelType w:val="hybridMultilevel"/>
    <w:tmpl w:val="1EB6B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FE2809"/>
    <w:multiLevelType w:val="hybridMultilevel"/>
    <w:tmpl w:val="5758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3C41FE"/>
    <w:multiLevelType w:val="hybridMultilevel"/>
    <w:tmpl w:val="3E884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B359A"/>
    <w:multiLevelType w:val="hybridMultilevel"/>
    <w:tmpl w:val="DB2E1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625658"/>
    <w:multiLevelType w:val="hybridMultilevel"/>
    <w:tmpl w:val="AA1EB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08C1EEC"/>
    <w:multiLevelType w:val="hybridMultilevel"/>
    <w:tmpl w:val="B2CAA4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265BFF"/>
    <w:multiLevelType w:val="hybridMultilevel"/>
    <w:tmpl w:val="5B66D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510F6"/>
    <w:multiLevelType w:val="hybridMultilevel"/>
    <w:tmpl w:val="0BA4D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2"/>
  </w:num>
  <w:num w:numId="7">
    <w:abstractNumId w:val="7"/>
  </w:num>
  <w:num w:numId="8">
    <w:abstractNumId w:val="16"/>
  </w:num>
  <w:num w:numId="9">
    <w:abstractNumId w:val="17"/>
  </w:num>
  <w:num w:numId="10">
    <w:abstractNumId w:val="0"/>
  </w:num>
  <w:num w:numId="11">
    <w:abstractNumId w:val="1"/>
  </w:num>
  <w:num w:numId="12">
    <w:abstractNumId w:val="15"/>
  </w:num>
  <w:num w:numId="13">
    <w:abstractNumId w:val="6"/>
  </w:num>
  <w:num w:numId="14">
    <w:abstractNumId w:val="8"/>
  </w:num>
  <w:num w:numId="15">
    <w:abstractNumId w:val="10"/>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D"/>
    <w:rsid w:val="000662E6"/>
    <w:rsid w:val="000E3417"/>
    <w:rsid w:val="000E35ED"/>
    <w:rsid w:val="000F65B7"/>
    <w:rsid w:val="0019179E"/>
    <w:rsid w:val="001B1713"/>
    <w:rsid w:val="001E18F1"/>
    <w:rsid w:val="001E2DE7"/>
    <w:rsid w:val="0023083D"/>
    <w:rsid w:val="0026623E"/>
    <w:rsid w:val="00287FA2"/>
    <w:rsid w:val="00322FCA"/>
    <w:rsid w:val="003244EA"/>
    <w:rsid w:val="00352ADC"/>
    <w:rsid w:val="003E13F7"/>
    <w:rsid w:val="004C21AB"/>
    <w:rsid w:val="004E2963"/>
    <w:rsid w:val="005F7FB3"/>
    <w:rsid w:val="006E57AF"/>
    <w:rsid w:val="00706A8C"/>
    <w:rsid w:val="00712C0E"/>
    <w:rsid w:val="007925FD"/>
    <w:rsid w:val="007E2158"/>
    <w:rsid w:val="00832CE5"/>
    <w:rsid w:val="00840EA9"/>
    <w:rsid w:val="008A1B80"/>
    <w:rsid w:val="008D5812"/>
    <w:rsid w:val="008E2567"/>
    <w:rsid w:val="00913414"/>
    <w:rsid w:val="0092793A"/>
    <w:rsid w:val="009D01BB"/>
    <w:rsid w:val="00A15E18"/>
    <w:rsid w:val="00A5454D"/>
    <w:rsid w:val="00A613FE"/>
    <w:rsid w:val="00AD4597"/>
    <w:rsid w:val="00B55FE8"/>
    <w:rsid w:val="00B834AA"/>
    <w:rsid w:val="00B900CA"/>
    <w:rsid w:val="00BD3989"/>
    <w:rsid w:val="00C77A1C"/>
    <w:rsid w:val="00E22B99"/>
    <w:rsid w:val="00E2469D"/>
    <w:rsid w:val="00E276D5"/>
    <w:rsid w:val="00E63D97"/>
    <w:rsid w:val="00E92D0A"/>
    <w:rsid w:val="00F42615"/>
    <w:rsid w:val="00FA23B3"/>
    <w:rsid w:val="00FB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B840FD2E-DB1C-44D8-82C4-CC4C1A5E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paragraph" w:customStyle="1" w:styleId="Default">
    <w:name w:val="Default"/>
    <w:rsid w:val="009D01BB"/>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15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E1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8102-717B-41E9-BA6A-4CB9A578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3</cp:revision>
  <cp:lastPrinted>2019-06-10T20:11:00Z</cp:lastPrinted>
  <dcterms:created xsi:type="dcterms:W3CDTF">2019-05-29T13:53:00Z</dcterms:created>
  <dcterms:modified xsi:type="dcterms:W3CDTF">2019-06-10T20:11:00Z</dcterms:modified>
</cp:coreProperties>
</file>