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37FB" w14:textId="6A371715" w:rsidR="0023388C" w:rsidRDefault="00543925">
      <w:pPr>
        <w:spacing w:before="0" w:after="160" w:line="259" w:lineRule="auto"/>
        <w:rPr>
          <w:rFonts w:asciiTheme="majorHAnsi" w:eastAsiaTheme="majorEastAsia" w:hAnsiTheme="majorHAnsi" w:cstheme="majorBidi"/>
          <w:b/>
          <w:caps/>
          <w:color w:val="4472C4" w:themeColor="accent1"/>
          <w:spacing w:val="10"/>
          <w:sz w:val="40"/>
          <w:szCs w:val="40"/>
        </w:rPr>
      </w:pPr>
      <w:r>
        <w:rPr>
          <w:b/>
          <w:noProof/>
          <w:sz w:val="40"/>
          <w:szCs w:val="40"/>
        </w:rPr>
        <w:drawing>
          <wp:anchor distT="0" distB="0" distL="114300" distR="114300" simplePos="0" relativeHeight="251664384" behindDoc="0" locked="0" layoutInCell="1" allowOverlap="1" wp14:anchorId="5E7D7A16" wp14:editId="2282BCD1">
            <wp:simplePos x="0" y="0"/>
            <wp:positionH relativeFrom="margin">
              <wp:align>center</wp:align>
            </wp:positionH>
            <wp:positionV relativeFrom="margin">
              <wp:align>center</wp:align>
            </wp:positionV>
            <wp:extent cx="6996747" cy="9157792"/>
            <wp:effectExtent l="0" t="0" r="0" b="5715"/>
            <wp:wrapThrough wrapText="bothSides">
              <wp:wrapPolygon edited="0">
                <wp:start x="0" y="0"/>
                <wp:lineTo x="0" y="21569"/>
                <wp:lineTo x="21526" y="21569"/>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MEA_Risk_Management_Cover_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6747" cy="9157792"/>
                    </a:xfrm>
                    <a:prstGeom prst="rect">
                      <a:avLst/>
                    </a:prstGeom>
                  </pic:spPr>
                </pic:pic>
              </a:graphicData>
            </a:graphic>
            <wp14:sizeRelH relativeFrom="margin">
              <wp14:pctWidth>0</wp14:pctWidth>
            </wp14:sizeRelH>
            <wp14:sizeRelV relativeFrom="margin">
              <wp14:pctHeight>0</wp14:pctHeight>
            </wp14:sizeRelV>
          </wp:anchor>
        </w:drawing>
      </w:r>
      <w:r w:rsidR="0023388C">
        <w:rPr>
          <w:b/>
          <w:sz w:val="40"/>
          <w:szCs w:val="40"/>
        </w:rPr>
        <w:br w:type="page"/>
      </w:r>
    </w:p>
    <w:p w14:paraId="13F332DA" w14:textId="77777777" w:rsidR="00E565C6" w:rsidRDefault="00E565C6">
      <w:pPr>
        <w:spacing w:before="0" w:after="160" w:line="259" w:lineRule="auto"/>
        <w:rPr>
          <w:rFonts w:asciiTheme="majorHAnsi" w:eastAsiaTheme="majorEastAsia" w:hAnsiTheme="majorHAnsi" w:cstheme="majorBidi"/>
          <w:b/>
          <w:caps/>
          <w:color w:val="4472C4" w:themeColor="accent1"/>
          <w:spacing w:val="10"/>
          <w:sz w:val="40"/>
          <w:szCs w:val="40"/>
        </w:rPr>
      </w:pPr>
      <w:r>
        <w:rPr>
          <w:b/>
          <w:sz w:val="40"/>
          <w:szCs w:val="40"/>
        </w:rPr>
        <w:lastRenderedPageBreak/>
        <w:br w:type="page"/>
      </w:r>
    </w:p>
    <w:p w14:paraId="562C6D9B" w14:textId="2711B9E3" w:rsidR="005C1668" w:rsidRDefault="005C1668" w:rsidP="005C1668">
      <w:pPr>
        <w:spacing w:line="240" w:lineRule="auto"/>
        <w:ind w:left="360"/>
        <w:jc w:val="both"/>
        <w:rPr>
          <w:rFonts w:ascii="Arial" w:hAnsi="Arial" w:cs="Arial"/>
          <w:sz w:val="20"/>
          <w:szCs w:val="24"/>
        </w:rPr>
      </w:pPr>
    </w:p>
    <w:p w14:paraId="6E15073D" w14:textId="37C39DD4" w:rsidR="005F4716" w:rsidRDefault="005F4716" w:rsidP="005C1668">
      <w:pPr>
        <w:spacing w:line="240" w:lineRule="auto"/>
        <w:ind w:left="360"/>
        <w:jc w:val="both"/>
        <w:rPr>
          <w:rFonts w:ascii="Arial" w:hAnsi="Arial" w:cs="Arial"/>
          <w:sz w:val="20"/>
          <w:szCs w:val="24"/>
        </w:rPr>
      </w:pPr>
    </w:p>
    <w:p w14:paraId="668AB2CB" w14:textId="71F9FB59" w:rsidR="005F4716" w:rsidRDefault="005F4716" w:rsidP="005C1668">
      <w:pPr>
        <w:spacing w:line="240" w:lineRule="auto"/>
        <w:ind w:left="360"/>
        <w:jc w:val="both"/>
        <w:rPr>
          <w:rFonts w:ascii="Arial" w:hAnsi="Arial" w:cs="Arial"/>
          <w:sz w:val="20"/>
          <w:szCs w:val="24"/>
        </w:rPr>
      </w:pPr>
    </w:p>
    <w:p w14:paraId="1E2C6ADD" w14:textId="290C588F" w:rsidR="005F4716" w:rsidRDefault="005F4716" w:rsidP="005C1668">
      <w:pPr>
        <w:spacing w:line="240" w:lineRule="auto"/>
        <w:ind w:left="360"/>
        <w:jc w:val="both"/>
        <w:rPr>
          <w:rFonts w:ascii="Arial" w:hAnsi="Arial" w:cs="Arial"/>
          <w:sz w:val="20"/>
          <w:szCs w:val="24"/>
        </w:rPr>
      </w:pPr>
    </w:p>
    <w:p w14:paraId="59AE293C" w14:textId="77777777" w:rsidR="005F4716" w:rsidRPr="005C1668" w:rsidRDefault="005F4716" w:rsidP="005C1668">
      <w:pPr>
        <w:spacing w:line="240" w:lineRule="auto"/>
        <w:ind w:left="360"/>
        <w:jc w:val="both"/>
        <w:rPr>
          <w:rFonts w:ascii="Arial" w:hAnsi="Arial" w:cs="Arial"/>
          <w:sz w:val="20"/>
          <w:szCs w:val="24"/>
        </w:rPr>
      </w:pPr>
    </w:p>
    <w:p w14:paraId="09894CBE" w14:textId="77777777" w:rsidR="0023388C" w:rsidRPr="004E28B8" w:rsidRDefault="0023388C" w:rsidP="0023388C">
      <w:pPr>
        <w:jc w:val="both"/>
        <w:rPr>
          <w:sz w:val="22"/>
          <w:szCs w:val="22"/>
        </w:rPr>
      </w:pPr>
    </w:p>
    <w:p w14:paraId="7351C74C" w14:textId="04BB3B29" w:rsidR="0023388C" w:rsidRDefault="0023388C" w:rsidP="0023388C"/>
    <w:p w14:paraId="1DD93A7C" w14:textId="31A56F6E" w:rsidR="005C1668" w:rsidRDefault="005C1668" w:rsidP="0023388C"/>
    <w:p w14:paraId="32B09445" w14:textId="3B34F595" w:rsidR="005C1668" w:rsidRDefault="005C1668" w:rsidP="0023388C"/>
    <w:p w14:paraId="79BE18C9" w14:textId="0CC9D80D" w:rsidR="005C1668" w:rsidRDefault="005C1668" w:rsidP="0023388C"/>
    <w:p w14:paraId="3672161B" w14:textId="51C6EA2A" w:rsidR="005C1668" w:rsidRDefault="005C1668" w:rsidP="0023388C"/>
    <w:p w14:paraId="57123DB9" w14:textId="71D6D4B2" w:rsidR="005C1668" w:rsidRDefault="005C1668" w:rsidP="0023388C"/>
    <w:p w14:paraId="59AA9F7B" w14:textId="01B52467" w:rsidR="005C1668" w:rsidRDefault="005C1668" w:rsidP="0023388C"/>
    <w:p w14:paraId="1D423A6B" w14:textId="10C7DACA" w:rsidR="005C1668" w:rsidRDefault="005C1668" w:rsidP="0023388C"/>
    <w:p w14:paraId="5E213F8A" w14:textId="3C8F67E6" w:rsidR="005C1668" w:rsidRDefault="005C1668" w:rsidP="0023388C"/>
    <w:p w14:paraId="6491C96E" w14:textId="47E969DC" w:rsidR="005C1668" w:rsidRDefault="005C1668" w:rsidP="0023388C"/>
    <w:p w14:paraId="608F0226" w14:textId="695254DA" w:rsidR="005C1668" w:rsidRDefault="005C1668" w:rsidP="0023388C"/>
    <w:p w14:paraId="168E225D" w14:textId="65C9043A" w:rsidR="005C1668" w:rsidRDefault="005C1668" w:rsidP="0023388C"/>
    <w:p w14:paraId="6BB418FB" w14:textId="772F554F" w:rsidR="005C1668" w:rsidRDefault="005C1668" w:rsidP="0023388C"/>
    <w:p w14:paraId="6DE8A8EA" w14:textId="11A50488" w:rsidR="005C1668" w:rsidRDefault="005C1668" w:rsidP="0023388C"/>
    <w:p w14:paraId="02ABA210" w14:textId="0D74EC53" w:rsidR="005C1668" w:rsidRDefault="005C1668" w:rsidP="0023388C"/>
    <w:p w14:paraId="599ADB95" w14:textId="24E6D326" w:rsidR="005C1668" w:rsidRDefault="005C1668" w:rsidP="0023388C"/>
    <w:p w14:paraId="463F217C" w14:textId="7EF4733A" w:rsidR="005C1668" w:rsidRDefault="005C1668" w:rsidP="0023388C"/>
    <w:p w14:paraId="02F56878" w14:textId="1BB56264" w:rsidR="005C1668" w:rsidRDefault="005C1668" w:rsidP="0023388C"/>
    <w:p w14:paraId="188C62E9" w14:textId="77777777" w:rsidR="005C1668" w:rsidRDefault="005C1668" w:rsidP="0023388C"/>
    <w:p w14:paraId="682765E2" w14:textId="4C330CBC" w:rsidR="0023388C" w:rsidRPr="00F6626A" w:rsidRDefault="005C1668" w:rsidP="0023388C">
      <w:pPr>
        <w:rPr>
          <w:b/>
          <w:sz w:val="28"/>
          <w:szCs w:val="28"/>
        </w:rPr>
      </w:pPr>
      <w:r>
        <w:rPr>
          <w:b/>
          <w:sz w:val="28"/>
          <w:szCs w:val="28"/>
        </w:rPr>
        <w:lastRenderedPageBreak/>
        <w:t xml:space="preserve">KYMEA </w:t>
      </w:r>
      <w:r w:rsidR="005F4716">
        <w:rPr>
          <w:b/>
          <w:sz w:val="28"/>
          <w:szCs w:val="28"/>
        </w:rPr>
        <w:t xml:space="preserve">Enterprise Risk </w:t>
      </w:r>
      <w:r w:rsidR="00794584">
        <w:rPr>
          <w:b/>
          <w:sz w:val="28"/>
          <w:szCs w:val="28"/>
        </w:rPr>
        <w:t>M</w:t>
      </w:r>
      <w:r w:rsidR="005F4716">
        <w:rPr>
          <w:b/>
          <w:sz w:val="28"/>
          <w:szCs w:val="28"/>
        </w:rPr>
        <w:t xml:space="preserve">anagement </w:t>
      </w:r>
      <w:r w:rsidR="00794584">
        <w:rPr>
          <w:b/>
          <w:sz w:val="28"/>
          <w:szCs w:val="28"/>
        </w:rPr>
        <w:t>P</w:t>
      </w:r>
      <w:r w:rsidR="005F4716">
        <w:rPr>
          <w:b/>
          <w:sz w:val="28"/>
          <w:szCs w:val="28"/>
        </w:rPr>
        <w:t>olicy</w:t>
      </w:r>
    </w:p>
    <w:tbl>
      <w:tblPr>
        <w:tblStyle w:val="GridTable4-Accent11"/>
        <w:tblW w:w="0" w:type="auto"/>
        <w:tblLook w:val="04A0" w:firstRow="1" w:lastRow="0" w:firstColumn="1" w:lastColumn="0" w:noHBand="0" w:noVBand="1"/>
      </w:tblPr>
      <w:tblGrid>
        <w:gridCol w:w="1525"/>
        <w:gridCol w:w="1530"/>
        <w:gridCol w:w="6295"/>
      </w:tblGrid>
      <w:tr w:rsidR="0023388C" w14:paraId="691FB0D2" w14:textId="77777777" w:rsidTr="000F4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A7C8C9B" w14:textId="77777777" w:rsidR="0023388C" w:rsidRDefault="0023388C" w:rsidP="000F49DF">
            <w:pPr>
              <w:rPr>
                <w:szCs w:val="24"/>
              </w:rPr>
            </w:pPr>
            <w:r>
              <w:rPr>
                <w:szCs w:val="24"/>
              </w:rPr>
              <w:t>VERSION</w:t>
            </w:r>
          </w:p>
        </w:tc>
        <w:tc>
          <w:tcPr>
            <w:tcW w:w="1530" w:type="dxa"/>
          </w:tcPr>
          <w:p w14:paraId="272AF9AA" w14:textId="77777777" w:rsidR="0023388C" w:rsidRDefault="0023388C" w:rsidP="000F49DF">
            <w:pPr>
              <w:cnfStyle w:val="100000000000" w:firstRow="1" w:lastRow="0" w:firstColumn="0" w:lastColumn="0" w:oddVBand="0" w:evenVBand="0" w:oddHBand="0" w:evenHBand="0" w:firstRowFirstColumn="0" w:firstRowLastColumn="0" w:lastRowFirstColumn="0" w:lastRowLastColumn="0"/>
              <w:rPr>
                <w:szCs w:val="24"/>
              </w:rPr>
            </w:pPr>
            <w:r>
              <w:rPr>
                <w:szCs w:val="24"/>
              </w:rPr>
              <w:t>DATE</w:t>
            </w:r>
          </w:p>
        </w:tc>
        <w:tc>
          <w:tcPr>
            <w:tcW w:w="6295" w:type="dxa"/>
          </w:tcPr>
          <w:p w14:paraId="36B8C30E" w14:textId="77777777" w:rsidR="0023388C" w:rsidRDefault="0023388C" w:rsidP="000F49DF">
            <w:pPr>
              <w:cnfStyle w:val="100000000000" w:firstRow="1" w:lastRow="0" w:firstColumn="0" w:lastColumn="0" w:oddVBand="0" w:evenVBand="0" w:oddHBand="0" w:evenHBand="0" w:firstRowFirstColumn="0" w:firstRowLastColumn="0" w:lastRowFirstColumn="0" w:lastRowLastColumn="0"/>
              <w:rPr>
                <w:szCs w:val="24"/>
              </w:rPr>
            </w:pPr>
            <w:r>
              <w:rPr>
                <w:szCs w:val="24"/>
              </w:rPr>
              <w:t>DESCRIPTION</w:t>
            </w:r>
          </w:p>
        </w:tc>
      </w:tr>
      <w:tr w:rsidR="0023388C" w14:paraId="4842611B"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FCF6617" w14:textId="77777777" w:rsidR="0023388C" w:rsidRPr="008F2411" w:rsidRDefault="0023388C" w:rsidP="000F49DF">
            <w:pPr>
              <w:rPr>
                <w:b w:val="0"/>
                <w:szCs w:val="24"/>
              </w:rPr>
            </w:pPr>
            <w:r>
              <w:rPr>
                <w:b w:val="0"/>
                <w:szCs w:val="24"/>
              </w:rPr>
              <w:t>Version 1.0</w:t>
            </w:r>
          </w:p>
        </w:tc>
        <w:tc>
          <w:tcPr>
            <w:tcW w:w="1530" w:type="dxa"/>
          </w:tcPr>
          <w:p w14:paraId="528C7F95" w14:textId="0C580373" w:rsidR="0023388C" w:rsidRDefault="005123F1" w:rsidP="000F49DF">
            <w:pPr>
              <w:cnfStyle w:val="000000100000" w:firstRow="0" w:lastRow="0" w:firstColumn="0" w:lastColumn="0" w:oddVBand="0" w:evenVBand="0" w:oddHBand="1" w:evenHBand="0" w:firstRowFirstColumn="0" w:firstRowLastColumn="0" w:lastRowFirstColumn="0" w:lastRowLastColumn="0"/>
              <w:rPr>
                <w:szCs w:val="24"/>
              </w:rPr>
            </w:pPr>
            <w:r>
              <w:rPr>
                <w:szCs w:val="24"/>
              </w:rPr>
              <w:t>03-</w:t>
            </w:r>
            <w:r w:rsidR="005F4716">
              <w:rPr>
                <w:szCs w:val="24"/>
              </w:rPr>
              <w:t>28</w:t>
            </w:r>
            <w:r>
              <w:rPr>
                <w:szCs w:val="24"/>
              </w:rPr>
              <w:t>-2019</w:t>
            </w:r>
          </w:p>
        </w:tc>
        <w:tc>
          <w:tcPr>
            <w:tcW w:w="6295" w:type="dxa"/>
          </w:tcPr>
          <w:p w14:paraId="73076173" w14:textId="3584E7AB"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r>
              <w:rPr>
                <w:szCs w:val="24"/>
              </w:rPr>
              <w:t>KYMEA Board - Original Document</w:t>
            </w:r>
          </w:p>
          <w:p w14:paraId="7F5DB053" w14:textId="16F31458" w:rsidR="0023388C" w:rsidRPr="00C77F16" w:rsidRDefault="0023388C" w:rsidP="005123F1">
            <w:pPr>
              <w:pStyle w:val="ListParagraph"/>
              <w:spacing w:after="0" w:line="240" w:lineRule="auto"/>
              <w:ind w:left="1440"/>
              <w:cnfStyle w:val="000000100000" w:firstRow="0" w:lastRow="0" w:firstColumn="0" w:lastColumn="0" w:oddVBand="0" w:evenVBand="0" w:oddHBand="1" w:evenHBand="0" w:firstRowFirstColumn="0" w:firstRowLastColumn="0" w:lastRowFirstColumn="0" w:lastRowLastColumn="0"/>
              <w:rPr>
                <w:szCs w:val="24"/>
              </w:rPr>
            </w:pPr>
          </w:p>
        </w:tc>
      </w:tr>
      <w:tr w:rsidR="0023388C" w14:paraId="59BE4FE2"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35941383" w14:textId="2A96448A" w:rsidR="0023388C" w:rsidRPr="008F2411" w:rsidRDefault="00E01FC7" w:rsidP="000F49DF">
            <w:pPr>
              <w:rPr>
                <w:b w:val="0"/>
                <w:szCs w:val="24"/>
              </w:rPr>
            </w:pPr>
            <w:r>
              <w:rPr>
                <w:b w:val="0"/>
                <w:szCs w:val="24"/>
              </w:rPr>
              <w:t>Version 1.1</w:t>
            </w:r>
          </w:p>
        </w:tc>
        <w:tc>
          <w:tcPr>
            <w:tcW w:w="1530" w:type="dxa"/>
          </w:tcPr>
          <w:p w14:paraId="0CBD661B" w14:textId="4A39448C" w:rsidR="0023388C" w:rsidRDefault="008A39C4" w:rsidP="000F49DF">
            <w:pPr>
              <w:cnfStyle w:val="000000000000" w:firstRow="0" w:lastRow="0" w:firstColumn="0" w:lastColumn="0" w:oddVBand="0" w:evenVBand="0" w:oddHBand="0" w:evenHBand="0" w:firstRowFirstColumn="0" w:firstRowLastColumn="0" w:lastRowFirstColumn="0" w:lastRowLastColumn="0"/>
              <w:rPr>
                <w:szCs w:val="24"/>
              </w:rPr>
            </w:pPr>
            <w:r>
              <w:rPr>
                <w:szCs w:val="24"/>
              </w:rPr>
              <w:t>04-24-2019</w:t>
            </w:r>
          </w:p>
        </w:tc>
        <w:tc>
          <w:tcPr>
            <w:tcW w:w="6295" w:type="dxa"/>
          </w:tcPr>
          <w:p w14:paraId="5902C14B" w14:textId="4A2D768C" w:rsidR="0023388C" w:rsidRDefault="00BA251E" w:rsidP="000F49DF">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KYMEA </w:t>
            </w:r>
            <w:r w:rsidR="00EC3637">
              <w:rPr>
                <w:szCs w:val="24"/>
              </w:rPr>
              <w:t xml:space="preserve">Board </w:t>
            </w:r>
            <w:r w:rsidR="00997A57">
              <w:rPr>
                <w:szCs w:val="24"/>
              </w:rPr>
              <w:t xml:space="preserve">adopted </w:t>
            </w:r>
            <w:r>
              <w:rPr>
                <w:szCs w:val="24"/>
              </w:rPr>
              <w:t>Appendix A: Trading Authority Procedures</w:t>
            </w:r>
          </w:p>
        </w:tc>
      </w:tr>
      <w:tr w:rsidR="0023388C" w14:paraId="2469CC8F"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50B71AE" w14:textId="7221759D" w:rsidR="0023388C" w:rsidRPr="008F2411" w:rsidRDefault="00997A57" w:rsidP="000F49DF">
            <w:pPr>
              <w:rPr>
                <w:b w:val="0"/>
                <w:szCs w:val="24"/>
              </w:rPr>
            </w:pPr>
            <w:r>
              <w:rPr>
                <w:b w:val="0"/>
                <w:szCs w:val="24"/>
              </w:rPr>
              <w:t>Version 1.2</w:t>
            </w:r>
          </w:p>
        </w:tc>
        <w:tc>
          <w:tcPr>
            <w:tcW w:w="1530" w:type="dxa"/>
          </w:tcPr>
          <w:p w14:paraId="53152595" w14:textId="2F47CE95" w:rsidR="0023388C" w:rsidRDefault="001630D8" w:rsidP="000F49DF">
            <w:pPr>
              <w:cnfStyle w:val="000000100000" w:firstRow="0" w:lastRow="0" w:firstColumn="0" w:lastColumn="0" w:oddVBand="0" w:evenVBand="0" w:oddHBand="1" w:evenHBand="0" w:firstRowFirstColumn="0" w:firstRowLastColumn="0" w:lastRowFirstColumn="0" w:lastRowLastColumn="0"/>
              <w:rPr>
                <w:szCs w:val="24"/>
              </w:rPr>
            </w:pPr>
            <w:r>
              <w:rPr>
                <w:szCs w:val="24"/>
              </w:rPr>
              <w:t>05-23-2019</w:t>
            </w:r>
          </w:p>
        </w:tc>
        <w:tc>
          <w:tcPr>
            <w:tcW w:w="6295" w:type="dxa"/>
          </w:tcPr>
          <w:p w14:paraId="6D4FAB41" w14:textId="4FE69F2B" w:rsidR="0023388C" w:rsidRDefault="00031ED7" w:rsidP="000F49DF">
            <w:pPr>
              <w:cnfStyle w:val="000000100000" w:firstRow="0" w:lastRow="0" w:firstColumn="0" w:lastColumn="0" w:oddVBand="0" w:evenVBand="0" w:oddHBand="1" w:evenHBand="0" w:firstRowFirstColumn="0" w:firstRowLastColumn="0" w:lastRowFirstColumn="0" w:lastRowLastColumn="0"/>
              <w:rPr>
                <w:szCs w:val="24"/>
              </w:rPr>
            </w:pPr>
            <w:r>
              <w:rPr>
                <w:szCs w:val="24"/>
              </w:rPr>
              <w:t>KYMEA</w:t>
            </w:r>
            <w:r w:rsidR="001630D8">
              <w:rPr>
                <w:szCs w:val="24"/>
              </w:rPr>
              <w:t xml:space="preserve"> Board</w:t>
            </w:r>
            <w:r>
              <w:rPr>
                <w:szCs w:val="24"/>
              </w:rPr>
              <w:t xml:space="preserve"> </w:t>
            </w:r>
            <w:r w:rsidR="001630D8">
              <w:rPr>
                <w:szCs w:val="24"/>
              </w:rPr>
              <w:t>adopted</w:t>
            </w:r>
            <w:r>
              <w:rPr>
                <w:szCs w:val="24"/>
              </w:rPr>
              <w:t xml:space="preserve"> </w:t>
            </w:r>
            <w:r w:rsidR="001630D8">
              <w:rPr>
                <w:szCs w:val="24"/>
              </w:rPr>
              <w:t xml:space="preserve">the </w:t>
            </w:r>
            <w:r>
              <w:rPr>
                <w:szCs w:val="24"/>
              </w:rPr>
              <w:t xml:space="preserve">addition of Section </w:t>
            </w:r>
            <w:r w:rsidR="001630D8">
              <w:rPr>
                <w:szCs w:val="24"/>
              </w:rPr>
              <w:t>1.</w:t>
            </w:r>
            <w:r w:rsidR="00305BF7">
              <w:rPr>
                <w:szCs w:val="24"/>
              </w:rPr>
              <w:t>1</w:t>
            </w:r>
            <w:r w:rsidR="00F56C98">
              <w:rPr>
                <w:szCs w:val="24"/>
              </w:rPr>
              <w:t>0</w:t>
            </w:r>
            <w:r w:rsidR="00305BF7">
              <w:rPr>
                <w:szCs w:val="24"/>
              </w:rPr>
              <w:t xml:space="preserve"> Credit Policy</w:t>
            </w:r>
          </w:p>
        </w:tc>
      </w:tr>
      <w:tr w:rsidR="0023388C" w14:paraId="757BBDBB"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09D94BD1" w14:textId="77777777" w:rsidR="0023388C" w:rsidRPr="008F2411" w:rsidRDefault="0023388C" w:rsidP="000F49DF">
            <w:pPr>
              <w:rPr>
                <w:b w:val="0"/>
                <w:szCs w:val="24"/>
              </w:rPr>
            </w:pPr>
          </w:p>
        </w:tc>
        <w:tc>
          <w:tcPr>
            <w:tcW w:w="1530" w:type="dxa"/>
          </w:tcPr>
          <w:p w14:paraId="703E3770"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1DE1AB77"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r>
      <w:tr w:rsidR="0023388C" w14:paraId="309962F4"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72AB668" w14:textId="77777777" w:rsidR="0023388C" w:rsidRPr="008F2411" w:rsidRDefault="0023388C" w:rsidP="000F49DF">
            <w:pPr>
              <w:rPr>
                <w:b w:val="0"/>
                <w:szCs w:val="24"/>
              </w:rPr>
            </w:pPr>
          </w:p>
        </w:tc>
        <w:tc>
          <w:tcPr>
            <w:tcW w:w="1530" w:type="dxa"/>
          </w:tcPr>
          <w:p w14:paraId="2CA476D8"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c>
          <w:tcPr>
            <w:tcW w:w="6295" w:type="dxa"/>
          </w:tcPr>
          <w:p w14:paraId="3C7005C0"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r>
      <w:tr w:rsidR="0023388C" w14:paraId="59ECDDD1"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0775FA12" w14:textId="77777777" w:rsidR="0023388C" w:rsidRPr="008F2411" w:rsidRDefault="0023388C" w:rsidP="000F49DF">
            <w:pPr>
              <w:rPr>
                <w:b w:val="0"/>
                <w:szCs w:val="24"/>
              </w:rPr>
            </w:pPr>
          </w:p>
        </w:tc>
        <w:tc>
          <w:tcPr>
            <w:tcW w:w="1530" w:type="dxa"/>
          </w:tcPr>
          <w:p w14:paraId="54072655"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315661A6"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r>
      <w:tr w:rsidR="0023388C" w14:paraId="11007C0F"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F0683D3" w14:textId="77777777" w:rsidR="0023388C" w:rsidRPr="008F2411" w:rsidRDefault="0023388C" w:rsidP="000F49DF">
            <w:pPr>
              <w:rPr>
                <w:b w:val="0"/>
                <w:szCs w:val="24"/>
              </w:rPr>
            </w:pPr>
          </w:p>
        </w:tc>
        <w:tc>
          <w:tcPr>
            <w:tcW w:w="1530" w:type="dxa"/>
          </w:tcPr>
          <w:p w14:paraId="67FC1AE1"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c>
          <w:tcPr>
            <w:tcW w:w="6295" w:type="dxa"/>
          </w:tcPr>
          <w:p w14:paraId="4DA012DD"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r>
      <w:tr w:rsidR="0023388C" w14:paraId="713545EE"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5AA401C5" w14:textId="77777777" w:rsidR="0023388C" w:rsidRPr="008F2411" w:rsidRDefault="0023388C" w:rsidP="000F49DF">
            <w:pPr>
              <w:rPr>
                <w:b w:val="0"/>
                <w:szCs w:val="24"/>
              </w:rPr>
            </w:pPr>
          </w:p>
        </w:tc>
        <w:tc>
          <w:tcPr>
            <w:tcW w:w="1530" w:type="dxa"/>
          </w:tcPr>
          <w:p w14:paraId="60E4D6DA"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461365CD"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r>
      <w:tr w:rsidR="0023388C" w14:paraId="63294ED0"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3C8C136" w14:textId="77777777" w:rsidR="0023388C" w:rsidRPr="008F2411" w:rsidRDefault="0023388C" w:rsidP="000F49DF">
            <w:pPr>
              <w:rPr>
                <w:b w:val="0"/>
                <w:szCs w:val="24"/>
              </w:rPr>
            </w:pPr>
          </w:p>
        </w:tc>
        <w:tc>
          <w:tcPr>
            <w:tcW w:w="1530" w:type="dxa"/>
          </w:tcPr>
          <w:p w14:paraId="67A8F0EF"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c>
          <w:tcPr>
            <w:tcW w:w="6295" w:type="dxa"/>
          </w:tcPr>
          <w:p w14:paraId="572FE321"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r>
      <w:tr w:rsidR="0023388C" w14:paraId="77EDC4D0"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42C17BFF" w14:textId="77777777" w:rsidR="0023388C" w:rsidRPr="008F2411" w:rsidRDefault="0023388C" w:rsidP="000F49DF">
            <w:pPr>
              <w:rPr>
                <w:b w:val="0"/>
                <w:szCs w:val="24"/>
              </w:rPr>
            </w:pPr>
          </w:p>
        </w:tc>
        <w:tc>
          <w:tcPr>
            <w:tcW w:w="1530" w:type="dxa"/>
          </w:tcPr>
          <w:p w14:paraId="13BEB7D6"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169F4A30" w14:textId="77777777" w:rsidR="0023388C" w:rsidRDefault="0023388C" w:rsidP="000F49DF">
            <w:pPr>
              <w:cnfStyle w:val="000000000000" w:firstRow="0" w:lastRow="0" w:firstColumn="0" w:lastColumn="0" w:oddVBand="0" w:evenVBand="0" w:oddHBand="0" w:evenHBand="0" w:firstRowFirstColumn="0" w:firstRowLastColumn="0" w:lastRowFirstColumn="0" w:lastRowLastColumn="0"/>
              <w:rPr>
                <w:szCs w:val="24"/>
              </w:rPr>
            </w:pPr>
          </w:p>
        </w:tc>
      </w:tr>
      <w:tr w:rsidR="0023388C" w14:paraId="19B3FF22"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7A4544C" w14:textId="77777777" w:rsidR="0023388C" w:rsidRPr="008F2411" w:rsidRDefault="0023388C" w:rsidP="000F49DF">
            <w:pPr>
              <w:rPr>
                <w:b w:val="0"/>
                <w:szCs w:val="24"/>
              </w:rPr>
            </w:pPr>
          </w:p>
        </w:tc>
        <w:tc>
          <w:tcPr>
            <w:tcW w:w="1530" w:type="dxa"/>
          </w:tcPr>
          <w:p w14:paraId="7642E7CF"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c>
          <w:tcPr>
            <w:tcW w:w="6295" w:type="dxa"/>
          </w:tcPr>
          <w:p w14:paraId="7FC3E84E" w14:textId="77777777" w:rsidR="0023388C" w:rsidRDefault="0023388C" w:rsidP="000F49DF">
            <w:pPr>
              <w:cnfStyle w:val="000000100000" w:firstRow="0" w:lastRow="0" w:firstColumn="0" w:lastColumn="0" w:oddVBand="0" w:evenVBand="0" w:oddHBand="1" w:evenHBand="0" w:firstRowFirstColumn="0" w:firstRowLastColumn="0" w:lastRowFirstColumn="0" w:lastRowLastColumn="0"/>
              <w:rPr>
                <w:szCs w:val="24"/>
              </w:rPr>
            </w:pPr>
          </w:p>
        </w:tc>
      </w:tr>
      <w:tr w:rsidR="00A85B81" w14:paraId="1618161D"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294F8C80" w14:textId="77777777" w:rsidR="00A85B81" w:rsidRPr="008F2411" w:rsidRDefault="00A85B81" w:rsidP="000F49DF">
            <w:pPr>
              <w:rPr>
                <w:b w:val="0"/>
                <w:szCs w:val="24"/>
              </w:rPr>
            </w:pPr>
          </w:p>
        </w:tc>
        <w:tc>
          <w:tcPr>
            <w:tcW w:w="1530" w:type="dxa"/>
          </w:tcPr>
          <w:p w14:paraId="6BCDD979" w14:textId="77777777" w:rsidR="00A85B81" w:rsidRDefault="00A85B81"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531CE207" w14:textId="77777777" w:rsidR="00A85B81" w:rsidRDefault="00A85B81" w:rsidP="000F49DF">
            <w:pPr>
              <w:cnfStyle w:val="000000000000" w:firstRow="0" w:lastRow="0" w:firstColumn="0" w:lastColumn="0" w:oddVBand="0" w:evenVBand="0" w:oddHBand="0" w:evenHBand="0" w:firstRowFirstColumn="0" w:firstRowLastColumn="0" w:lastRowFirstColumn="0" w:lastRowLastColumn="0"/>
              <w:rPr>
                <w:szCs w:val="24"/>
              </w:rPr>
            </w:pPr>
          </w:p>
        </w:tc>
      </w:tr>
      <w:tr w:rsidR="00A85B81" w14:paraId="418805B7"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5151BC5" w14:textId="77777777" w:rsidR="00A85B81" w:rsidRPr="008F2411" w:rsidRDefault="00A85B81" w:rsidP="000F49DF">
            <w:pPr>
              <w:rPr>
                <w:b w:val="0"/>
                <w:szCs w:val="24"/>
              </w:rPr>
            </w:pPr>
          </w:p>
        </w:tc>
        <w:tc>
          <w:tcPr>
            <w:tcW w:w="1530" w:type="dxa"/>
          </w:tcPr>
          <w:p w14:paraId="05D7281E" w14:textId="77777777" w:rsidR="00A85B81" w:rsidRDefault="00A85B81" w:rsidP="000F49DF">
            <w:pPr>
              <w:cnfStyle w:val="000000100000" w:firstRow="0" w:lastRow="0" w:firstColumn="0" w:lastColumn="0" w:oddVBand="0" w:evenVBand="0" w:oddHBand="1" w:evenHBand="0" w:firstRowFirstColumn="0" w:firstRowLastColumn="0" w:lastRowFirstColumn="0" w:lastRowLastColumn="0"/>
              <w:rPr>
                <w:szCs w:val="24"/>
              </w:rPr>
            </w:pPr>
          </w:p>
        </w:tc>
        <w:tc>
          <w:tcPr>
            <w:tcW w:w="6295" w:type="dxa"/>
          </w:tcPr>
          <w:p w14:paraId="2A2AA851" w14:textId="77777777" w:rsidR="00A85B81" w:rsidRDefault="00A85B81" w:rsidP="000F49DF">
            <w:pPr>
              <w:cnfStyle w:val="000000100000" w:firstRow="0" w:lastRow="0" w:firstColumn="0" w:lastColumn="0" w:oddVBand="0" w:evenVBand="0" w:oddHBand="1" w:evenHBand="0" w:firstRowFirstColumn="0" w:firstRowLastColumn="0" w:lastRowFirstColumn="0" w:lastRowLastColumn="0"/>
              <w:rPr>
                <w:szCs w:val="24"/>
              </w:rPr>
            </w:pPr>
          </w:p>
        </w:tc>
      </w:tr>
      <w:tr w:rsidR="00A85B81" w14:paraId="2CC4036E"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1A50129A" w14:textId="77777777" w:rsidR="00A85B81" w:rsidRPr="008F2411" w:rsidRDefault="00A85B81" w:rsidP="000F49DF">
            <w:pPr>
              <w:rPr>
                <w:b w:val="0"/>
                <w:szCs w:val="24"/>
              </w:rPr>
            </w:pPr>
          </w:p>
        </w:tc>
        <w:tc>
          <w:tcPr>
            <w:tcW w:w="1530" w:type="dxa"/>
          </w:tcPr>
          <w:p w14:paraId="0CE65E9D" w14:textId="77777777" w:rsidR="00A85B81" w:rsidRDefault="00A85B81"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7CC85724" w14:textId="77777777" w:rsidR="00A85B81" w:rsidRDefault="00A85B81" w:rsidP="000F49DF">
            <w:pPr>
              <w:cnfStyle w:val="000000000000" w:firstRow="0" w:lastRow="0" w:firstColumn="0" w:lastColumn="0" w:oddVBand="0" w:evenVBand="0" w:oddHBand="0" w:evenHBand="0" w:firstRowFirstColumn="0" w:firstRowLastColumn="0" w:lastRowFirstColumn="0" w:lastRowLastColumn="0"/>
              <w:rPr>
                <w:szCs w:val="24"/>
              </w:rPr>
            </w:pPr>
          </w:p>
        </w:tc>
      </w:tr>
      <w:tr w:rsidR="00A85B81" w14:paraId="0F25272F" w14:textId="77777777" w:rsidTr="000F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6C45678" w14:textId="77777777" w:rsidR="00A85B81" w:rsidRPr="008F2411" w:rsidRDefault="00A85B81" w:rsidP="000F49DF">
            <w:pPr>
              <w:rPr>
                <w:b w:val="0"/>
                <w:szCs w:val="24"/>
              </w:rPr>
            </w:pPr>
          </w:p>
        </w:tc>
        <w:tc>
          <w:tcPr>
            <w:tcW w:w="1530" w:type="dxa"/>
          </w:tcPr>
          <w:p w14:paraId="65362CAF" w14:textId="77777777" w:rsidR="00A85B81" w:rsidRDefault="00A85B81" w:rsidP="000F49DF">
            <w:pPr>
              <w:cnfStyle w:val="000000100000" w:firstRow="0" w:lastRow="0" w:firstColumn="0" w:lastColumn="0" w:oddVBand="0" w:evenVBand="0" w:oddHBand="1" w:evenHBand="0" w:firstRowFirstColumn="0" w:firstRowLastColumn="0" w:lastRowFirstColumn="0" w:lastRowLastColumn="0"/>
              <w:rPr>
                <w:szCs w:val="24"/>
              </w:rPr>
            </w:pPr>
          </w:p>
        </w:tc>
        <w:tc>
          <w:tcPr>
            <w:tcW w:w="6295" w:type="dxa"/>
          </w:tcPr>
          <w:p w14:paraId="6A5D0F69" w14:textId="77777777" w:rsidR="00A85B81" w:rsidRDefault="00A85B81" w:rsidP="000F49DF">
            <w:pPr>
              <w:cnfStyle w:val="000000100000" w:firstRow="0" w:lastRow="0" w:firstColumn="0" w:lastColumn="0" w:oddVBand="0" w:evenVBand="0" w:oddHBand="1" w:evenHBand="0" w:firstRowFirstColumn="0" w:firstRowLastColumn="0" w:lastRowFirstColumn="0" w:lastRowLastColumn="0"/>
              <w:rPr>
                <w:szCs w:val="24"/>
              </w:rPr>
            </w:pPr>
          </w:p>
        </w:tc>
      </w:tr>
      <w:tr w:rsidR="00A85B81" w14:paraId="385C6BEA" w14:textId="77777777" w:rsidTr="000F49DF">
        <w:tc>
          <w:tcPr>
            <w:cnfStyle w:val="001000000000" w:firstRow="0" w:lastRow="0" w:firstColumn="1" w:lastColumn="0" w:oddVBand="0" w:evenVBand="0" w:oddHBand="0" w:evenHBand="0" w:firstRowFirstColumn="0" w:firstRowLastColumn="0" w:lastRowFirstColumn="0" w:lastRowLastColumn="0"/>
            <w:tcW w:w="1525" w:type="dxa"/>
          </w:tcPr>
          <w:p w14:paraId="2581A9C0" w14:textId="77777777" w:rsidR="00A85B81" w:rsidRPr="008F2411" w:rsidRDefault="00A85B81" w:rsidP="000F49DF">
            <w:pPr>
              <w:rPr>
                <w:b w:val="0"/>
                <w:szCs w:val="24"/>
              </w:rPr>
            </w:pPr>
          </w:p>
        </w:tc>
        <w:tc>
          <w:tcPr>
            <w:tcW w:w="1530" w:type="dxa"/>
          </w:tcPr>
          <w:p w14:paraId="7A59E6D7" w14:textId="77777777" w:rsidR="00A85B81" w:rsidRDefault="00A85B81" w:rsidP="000F49DF">
            <w:pPr>
              <w:cnfStyle w:val="000000000000" w:firstRow="0" w:lastRow="0" w:firstColumn="0" w:lastColumn="0" w:oddVBand="0" w:evenVBand="0" w:oddHBand="0" w:evenHBand="0" w:firstRowFirstColumn="0" w:firstRowLastColumn="0" w:lastRowFirstColumn="0" w:lastRowLastColumn="0"/>
              <w:rPr>
                <w:szCs w:val="24"/>
              </w:rPr>
            </w:pPr>
          </w:p>
        </w:tc>
        <w:tc>
          <w:tcPr>
            <w:tcW w:w="6295" w:type="dxa"/>
          </w:tcPr>
          <w:p w14:paraId="65F9B9DE" w14:textId="77777777" w:rsidR="00A85B81" w:rsidRDefault="00A85B81" w:rsidP="000F49DF">
            <w:pPr>
              <w:cnfStyle w:val="000000000000" w:firstRow="0" w:lastRow="0" w:firstColumn="0" w:lastColumn="0" w:oddVBand="0" w:evenVBand="0" w:oddHBand="0" w:evenHBand="0" w:firstRowFirstColumn="0" w:firstRowLastColumn="0" w:lastRowFirstColumn="0" w:lastRowLastColumn="0"/>
              <w:rPr>
                <w:szCs w:val="24"/>
              </w:rPr>
            </w:pPr>
          </w:p>
        </w:tc>
      </w:tr>
    </w:tbl>
    <w:p w14:paraId="68E33B5F" w14:textId="77777777" w:rsidR="0023388C" w:rsidRDefault="0023388C" w:rsidP="0023388C">
      <w:pPr>
        <w:pStyle w:val="TOCHeading"/>
        <w:tabs>
          <w:tab w:val="right" w:pos="9360"/>
        </w:tabs>
        <w:rPr>
          <w:b w:val="0"/>
          <w:caps w:val="0"/>
          <w:color w:val="auto"/>
          <w:spacing w:val="0"/>
          <w:sz w:val="24"/>
          <w:szCs w:val="24"/>
        </w:rPr>
        <w:sectPr w:rsidR="0023388C" w:rsidSect="0023388C">
          <w:pgSz w:w="12240" w:h="15840"/>
          <w:pgMar w:top="1440" w:right="1440" w:bottom="1440" w:left="1440" w:header="720" w:footer="720" w:gutter="0"/>
          <w:pgNumType w:fmt="lowerRoman" w:start="0"/>
          <w:cols w:space="720"/>
          <w:titlePg/>
          <w:docGrid w:linePitch="360"/>
        </w:sectPr>
      </w:pPr>
    </w:p>
    <w:sdt>
      <w:sdtPr>
        <w:rPr>
          <w:b w:val="0"/>
          <w:caps w:val="0"/>
          <w:color w:val="auto"/>
          <w:spacing w:val="0"/>
          <w:sz w:val="24"/>
          <w:szCs w:val="20"/>
        </w:rPr>
        <w:id w:val="-993786213"/>
        <w:docPartObj>
          <w:docPartGallery w:val="Table of Contents"/>
          <w:docPartUnique/>
        </w:docPartObj>
      </w:sdtPr>
      <w:sdtEndPr>
        <w:rPr>
          <w:bCs/>
          <w:noProof/>
        </w:rPr>
      </w:sdtEndPr>
      <w:sdtContent>
        <w:p w14:paraId="7069A724" w14:textId="77777777" w:rsidR="0023388C" w:rsidRDefault="0023388C" w:rsidP="0023388C">
          <w:pPr>
            <w:pStyle w:val="TOCHeading"/>
          </w:pPr>
          <w:r>
            <w:t>Table of Contents</w:t>
          </w:r>
        </w:p>
        <w:p w14:paraId="326194C6" w14:textId="452066D2" w:rsidR="000B6C18" w:rsidRDefault="0023388C">
          <w:pPr>
            <w:pStyle w:val="TOC1"/>
            <w:tabs>
              <w:tab w:val="right" w:leader="dot" w:pos="9350"/>
            </w:tabs>
            <w:rPr>
              <w:noProof/>
              <w:sz w:val="22"/>
              <w:szCs w:val="22"/>
            </w:rPr>
          </w:pPr>
          <w:r>
            <w:fldChar w:fldCharType="begin"/>
          </w:r>
          <w:r>
            <w:instrText xml:space="preserve"> TOC \o "1-3" \h \z \u </w:instrText>
          </w:r>
          <w:r>
            <w:fldChar w:fldCharType="separate"/>
          </w:r>
          <w:hyperlink w:anchor="_Toc8811570" w:history="1">
            <w:r w:rsidR="000B6C18" w:rsidRPr="00BA64BA">
              <w:rPr>
                <w:rStyle w:val="Hyperlink"/>
                <w:noProof/>
              </w:rPr>
              <w:t>SECTION 1.1</w:t>
            </w:r>
            <w:r w:rsidR="000B6C18">
              <w:rPr>
                <w:noProof/>
                <w:webHidden/>
              </w:rPr>
              <w:tab/>
            </w:r>
            <w:r w:rsidR="000B6C18">
              <w:rPr>
                <w:noProof/>
                <w:webHidden/>
              </w:rPr>
              <w:fldChar w:fldCharType="begin"/>
            </w:r>
            <w:r w:rsidR="000B6C18">
              <w:rPr>
                <w:noProof/>
                <w:webHidden/>
              </w:rPr>
              <w:instrText xml:space="preserve"> PAGEREF _Toc8811570 \h </w:instrText>
            </w:r>
            <w:r w:rsidR="000B6C18">
              <w:rPr>
                <w:noProof/>
                <w:webHidden/>
              </w:rPr>
            </w:r>
            <w:r w:rsidR="000B6C18">
              <w:rPr>
                <w:noProof/>
                <w:webHidden/>
              </w:rPr>
              <w:fldChar w:fldCharType="separate"/>
            </w:r>
            <w:r w:rsidR="00F83E66">
              <w:rPr>
                <w:noProof/>
                <w:webHidden/>
              </w:rPr>
              <w:t>1</w:t>
            </w:r>
            <w:r w:rsidR="000B6C18">
              <w:rPr>
                <w:noProof/>
                <w:webHidden/>
              </w:rPr>
              <w:fldChar w:fldCharType="end"/>
            </w:r>
          </w:hyperlink>
        </w:p>
        <w:p w14:paraId="64954C3D" w14:textId="094DA395" w:rsidR="000B6C18" w:rsidRDefault="000B6C18">
          <w:pPr>
            <w:pStyle w:val="TOC3"/>
            <w:rPr>
              <w:caps w:val="0"/>
              <w:sz w:val="22"/>
              <w:szCs w:val="22"/>
            </w:rPr>
          </w:pPr>
          <w:hyperlink w:anchor="_Toc8811571" w:history="1">
            <w:r w:rsidRPr="00BA64BA">
              <w:rPr>
                <w:rStyle w:val="Hyperlink"/>
              </w:rPr>
              <w:t>KYMEA Enterprise Risk management policy</w:t>
            </w:r>
            <w:r>
              <w:rPr>
                <w:webHidden/>
              </w:rPr>
              <w:tab/>
            </w:r>
            <w:r>
              <w:rPr>
                <w:webHidden/>
              </w:rPr>
              <w:fldChar w:fldCharType="begin"/>
            </w:r>
            <w:r>
              <w:rPr>
                <w:webHidden/>
              </w:rPr>
              <w:instrText xml:space="preserve"> PAGEREF _Toc8811571 \h </w:instrText>
            </w:r>
            <w:r>
              <w:rPr>
                <w:webHidden/>
              </w:rPr>
            </w:r>
            <w:r>
              <w:rPr>
                <w:webHidden/>
              </w:rPr>
              <w:fldChar w:fldCharType="separate"/>
            </w:r>
            <w:r w:rsidR="00F83E66">
              <w:rPr>
                <w:webHidden/>
              </w:rPr>
              <w:t>1</w:t>
            </w:r>
            <w:r>
              <w:rPr>
                <w:webHidden/>
              </w:rPr>
              <w:fldChar w:fldCharType="end"/>
            </w:r>
          </w:hyperlink>
        </w:p>
        <w:p w14:paraId="4E9AB7F8" w14:textId="68B77502" w:rsidR="000B6C18" w:rsidRDefault="000B6C18">
          <w:pPr>
            <w:pStyle w:val="TOC1"/>
            <w:tabs>
              <w:tab w:val="right" w:leader="dot" w:pos="9350"/>
            </w:tabs>
            <w:rPr>
              <w:noProof/>
              <w:sz w:val="22"/>
              <w:szCs w:val="22"/>
            </w:rPr>
          </w:pPr>
          <w:hyperlink w:anchor="_Toc8811572" w:history="1">
            <w:r w:rsidRPr="00BA64BA">
              <w:rPr>
                <w:rStyle w:val="Hyperlink"/>
                <w:noProof/>
              </w:rPr>
              <w:t>SECTION 1.2</w:t>
            </w:r>
            <w:r>
              <w:rPr>
                <w:noProof/>
                <w:webHidden/>
              </w:rPr>
              <w:tab/>
            </w:r>
            <w:r>
              <w:rPr>
                <w:noProof/>
                <w:webHidden/>
              </w:rPr>
              <w:fldChar w:fldCharType="begin"/>
            </w:r>
            <w:r>
              <w:rPr>
                <w:noProof/>
                <w:webHidden/>
              </w:rPr>
              <w:instrText xml:space="preserve"> PAGEREF _Toc8811572 \h </w:instrText>
            </w:r>
            <w:r>
              <w:rPr>
                <w:noProof/>
                <w:webHidden/>
              </w:rPr>
            </w:r>
            <w:r>
              <w:rPr>
                <w:noProof/>
                <w:webHidden/>
              </w:rPr>
              <w:fldChar w:fldCharType="separate"/>
            </w:r>
            <w:r w:rsidR="00F83E66">
              <w:rPr>
                <w:noProof/>
                <w:webHidden/>
              </w:rPr>
              <w:t>2</w:t>
            </w:r>
            <w:r>
              <w:rPr>
                <w:noProof/>
                <w:webHidden/>
              </w:rPr>
              <w:fldChar w:fldCharType="end"/>
            </w:r>
          </w:hyperlink>
        </w:p>
        <w:p w14:paraId="20908FF2" w14:textId="5C4BD10C" w:rsidR="000B6C18" w:rsidRDefault="000B6C18">
          <w:pPr>
            <w:pStyle w:val="TOC3"/>
            <w:rPr>
              <w:caps w:val="0"/>
              <w:sz w:val="22"/>
              <w:szCs w:val="22"/>
            </w:rPr>
          </w:pPr>
          <w:hyperlink w:anchor="_Toc8811573" w:history="1">
            <w:r w:rsidRPr="00BA64BA">
              <w:rPr>
                <w:rStyle w:val="Hyperlink"/>
              </w:rPr>
              <w:t>Strategic planning process</w:t>
            </w:r>
            <w:r>
              <w:rPr>
                <w:webHidden/>
              </w:rPr>
              <w:tab/>
            </w:r>
            <w:r>
              <w:rPr>
                <w:webHidden/>
              </w:rPr>
              <w:fldChar w:fldCharType="begin"/>
            </w:r>
            <w:r>
              <w:rPr>
                <w:webHidden/>
              </w:rPr>
              <w:instrText xml:space="preserve"> PAGEREF _Toc8811573 \h </w:instrText>
            </w:r>
            <w:r>
              <w:rPr>
                <w:webHidden/>
              </w:rPr>
            </w:r>
            <w:r>
              <w:rPr>
                <w:webHidden/>
              </w:rPr>
              <w:fldChar w:fldCharType="separate"/>
            </w:r>
            <w:r w:rsidR="00F83E66">
              <w:rPr>
                <w:webHidden/>
              </w:rPr>
              <w:t>2</w:t>
            </w:r>
            <w:r>
              <w:rPr>
                <w:webHidden/>
              </w:rPr>
              <w:fldChar w:fldCharType="end"/>
            </w:r>
          </w:hyperlink>
        </w:p>
        <w:p w14:paraId="64EEEB23" w14:textId="00AA45FB" w:rsidR="000B6C18" w:rsidRDefault="000B6C18">
          <w:pPr>
            <w:pStyle w:val="TOC1"/>
            <w:tabs>
              <w:tab w:val="right" w:leader="dot" w:pos="9350"/>
            </w:tabs>
            <w:rPr>
              <w:noProof/>
              <w:sz w:val="22"/>
              <w:szCs w:val="22"/>
            </w:rPr>
          </w:pPr>
          <w:hyperlink w:anchor="_Toc8811574" w:history="1">
            <w:r w:rsidRPr="00BA64BA">
              <w:rPr>
                <w:rStyle w:val="Hyperlink"/>
                <w:noProof/>
              </w:rPr>
              <w:t>SECTION 1.3</w:t>
            </w:r>
            <w:r>
              <w:rPr>
                <w:noProof/>
                <w:webHidden/>
              </w:rPr>
              <w:tab/>
            </w:r>
            <w:r>
              <w:rPr>
                <w:noProof/>
                <w:webHidden/>
              </w:rPr>
              <w:fldChar w:fldCharType="begin"/>
            </w:r>
            <w:r>
              <w:rPr>
                <w:noProof/>
                <w:webHidden/>
              </w:rPr>
              <w:instrText xml:space="preserve"> PAGEREF _Toc8811574 \h </w:instrText>
            </w:r>
            <w:r>
              <w:rPr>
                <w:noProof/>
                <w:webHidden/>
              </w:rPr>
            </w:r>
            <w:r>
              <w:rPr>
                <w:noProof/>
                <w:webHidden/>
              </w:rPr>
              <w:fldChar w:fldCharType="separate"/>
            </w:r>
            <w:r w:rsidR="00F83E66">
              <w:rPr>
                <w:noProof/>
                <w:webHidden/>
              </w:rPr>
              <w:t>3</w:t>
            </w:r>
            <w:r>
              <w:rPr>
                <w:noProof/>
                <w:webHidden/>
              </w:rPr>
              <w:fldChar w:fldCharType="end"/>
            </w:r>
          </w:hyperlink>
        </w:p>
        <w:p w14:paraId="3CBF8EB5" w14:textId="2A9DBA2E" w:rsidR="000B6C18" w:rsidRDefault="000B6C18">
          <w:pPr>
            <w:pStyle w:val="TOC3"/>
            <w:rPr>
              <w:caps w:val="0"/>
              <w:sz w:val="22"/>
              <w:szCs w:val="22"/>
            </w:rPr>
          </w:pPr>
          <w:hyperlink w:anchor="_Toc8811575" w:history="1">
            <w:r w:rsidRPr="00BA64BA">
              <w:rPr>
                <w:rStyle w:val="Hyperlink"/>
              </w:rPr>
              <w:t>risk management objectives</w:t>
            </w:r>
            <w:r>
              <w:rPr>
                <w:webHidden/>
              </w:rPr>
              <w:tab/>
            </w:r>
            <w:r>
              <w:rPr>
                <w:webHidden/>
              </w:rPr>
              <w:fldChar w:fldCharType="begin"/>
            </w:r>
            <w:r>
              <w:rPr>
                <w:webHidden/>
              </w:rPr>
              <w:instrText xml:space="preserve"> PAGEREF _Toc8811575 \h </w:instrText>
            </w:r>
            <w:r>
              <w:rPr>
                <w:webHidden/>
              </w:rPr>
            </w:r>
            <w:r>
              <w:rPr>
                <w:webHidden/>
              </w:rPr>
              <w:fldChar w:fldCharType="separate"/>
            </w:r>
            <w:r w:rsidR="00F83E66">
              <w:rPr>
                <w:webHidden/>
              </w:rPr>
              <w:t>3</w:t>
            </w:r>
            <w:r>
              <w:rPr>
                <w:webHidden/>
              </w:rPr>
              <w:fldChar w:fldCharType="end"/>
            </w:r>
          </w:hyperlink>
        </w:p>
        <w:p w14:paraId="1BD28C4C" w14:textId="0C25846C" w:rsidR="000B6C18" w:rsidRDefault="000B6C18">
          <w:pPr>
            <w:pStyle w:val="TOC1"/>
            <w:tabs>
              <w:tab w:val="right" w:leader="dot" w:pos="9350"/>
            </w:tabs>
            <w:rPr>
              <w:noProof/>
              <w:sz w:val="22"/>
              <w:szCs w:val="22"/>
            </w:rPr>
          </w:pPr>
          <w:hyperlink w:anchor="_Toc8811576" w:history="1">
            <w:r w:rsidRPr="00BA64BA">
              <w:rPr>
                <w:rStyle w:val="Hyperlink"/>
                <w:noProof/>
              </w:rPr>
              <w:t>SECTION 1.4</w:t>
            </w:r>
            <w:r>
              <w:rPr>
                <w:noProof/>
                <w:webHidden/>
              </w:rPr>
              <w:tab/>
            </w:r>
            <w:r>
              <w:rPr>
                <w:noProof/>
                <w:webHidden/>
              </w:rPr>
              <w:fldChar w:fldCharType="begin"/>
            </w:r>
            <w:r>
              <w:rPr>
                <w:noProof/>
                <w:webHidden/>
              </w:rPr>
              <w:instrText xml:space="preserve"> PAGEREF _Toc8811576 \h </w:instrText>
            </w:r>
            <w:r>
              <w:rPr>
                <w:noProof/>
                <w:webHidden/>
              </w:rPr>
            </w:r>
            <w:r>
              <w:rPr>
                <w:noProof/>
                <w:webHidden/>
              </w:rPr>
              <w:fldChar w:fldCharType="separate"/>
            </w:r>
            <w:r w:rsidR="00F83E66">
              <w:rPr>
                <w:noProof/>
                <w:webHidden/>
              </w:rPr>
              <w:t>4</w:t>
            </w:r>
            <w:r>
              <w:rPr>
                <w:noProof/>
                <w:webHidden/>
              </w:rPr>
              <w:fldChar w:fldCharType="end"/>
            </w:r>
          </w:hyperlink>
        </w:p>
        <w:p w14:paraId="775D1194" w14:textId="765FD2AF" w:rsidR="000B6C18" w:rsidRDefault="000B6C18">
          <w:pPr>
            <w:pStyle w:val="TOC3"/>
            <w:rPr>
              <w:caps w:val="0"/>
              <w:sz w:val="22"/>
              <w:szCs w:val="22"/>
            </w:rPr>
          </w:pPr>
          <w:hyperlink w:anchor="_Toc8811577" w:history="1">
            <w:r w:rsidRPr="00BA64BA">
              <w:rPr>
                <w:rStyle w:val="Hyperlink"/>
              </w:rPr>
              <w:t>Enterprise Risks Governed by this policy</w:t>
            </w:r>
            <w:r>
              <w:rPr>
                <w:webHidden/>
              </w:rPr>
              <w:tab/>
            </w:r>
            <w:r>
              <w:rPr>
                <w:webHidden/>
              </w:rPr>
              <w:fldChar w:fldCharType="begin"/>
            </w:r>
            <w:r>
              <w:rPr>
                <w:webHidden/>
              </w:rPr>
              <w:instrText xml:space="preserve"> PAGEREF _Toc8811577 \h </w:instrText>
            </w:r>
            <w:r>
              <w:rPr>
                <w:webHidden/>
              </w:rPr>
            </w:r>
            <w:r>
              <w:rPr>
                <w:webHidden/>
              </w:rPr>
              <w:fldChar w:fldCharType="separate"/>
            </w:r>
            <w:r w:rsidR="00F83E66">
              <w:rPr>
                <w:webHidden/>
              </w:rPr>
              <w:t>4</w:t>
            </w:r>
            <w:r>
              <w:rPr>
                <w:webHidden/>
              </w:rPr>
              <w:fldChar w:fldCharType="end"/>
            </w:r>
          </w:hyperlink>
        </w:p>
        <w:p w14:paraId="48785007" w14:textId="24C22219" w:rsidR="000B6C18" w:rsidRDefault="000B6C18">
          <w:pPr>
            <w:pStyle w:val="TOC1"/>
            <w:tabs>
              <w:tab w:val="right" w:leader="dot" w:pos="9350"/>
            </w:tabs>
            <w:rPr>
              <w:noProof/>
              <w:sz w:val="22"/>
              <w:szCs w:val="22"/>
            </w:rPr>
          </w:pPr>
          <w:hyperlink w:anchor="_Toc8811578" w:history="1">
            <w:r w:rsidRPr="00BA64BA">
              <w:rPr>
                <w:rStyle w:val="Hyperlink"/>
                <w:noProof/>
              </w:rPr>
              <w:t>SECTION 1.5</w:t>
            </w:r>
            <w:r>
              <w:rPr>
                <w:noProof/>
                <w:webHidden/>
              </w:rPr>
              <w:tab/>
            </w:r>
            <w:r>
              <w:rPr>
                <w:noProof/>
                <w:webHidden/>
              </w:rPr>
              <w:fldChar w:fldCharType="begin"/>
            </w:r>
            <w:r>
              <w:rPr>
                <w:noProof/>
                <w:webHidden/>
              </w:rPr>
              <w:instrText xml:space="preserve"> PAGEREF _Toc8811578 \h </w:instrText>
            </w:r>
            <w:r>
              <w:rPr>
                <w:noProof/>
                <w:webHidden/>
              </w:rPr>
            </w:r>
            <w:r>
              <w:rPr>
                <w:noProof/>
                <w:webHidden/>
              </w:rPr>
              <w:fldChar w:fldCharType="separate"/>
            </w:r>
            <w:r w:rsidR="00F83E66">
              <w:rPr>
                <w:noProof/>
                <w:webHidden/>
              </w:rPr>
              <w:t>7</w:t>
            </w:r>
            <w:r>
              <w:rPr>
                <w:noProof/>
                <w:webHidden/>
              </w:rPr>
              <w:fldChar w:fldCharType="end"/>
            </w:r>
          </w:hyperlink>
        </w:p>
        <w:p w14:paraId="4AA300B9" w14:textId="72121324" w:rsidR="000B6C18" w:rsidRDefault="000B6C18">
          <w:pPr>
            <w:pStyle w:val="TOC3"/>
            <w:rPr>
              <w:caps w:val="0"/>
              <w:sz w:val="22"/>
              <w:szCs w:val="22"/>
            </w:rPr>
          </w:pPr>
          <w:hyperlink w:anchor="_Toc8811579" w:history="1">
            <w:r w:rsidRPr="00BA64BA">
              <w:rPr>
                <w:rStyle w:val="Hyperlink"/>
              </w:rPr>
              <w:t>Risk management Governance structure</w:t>
            </w:r>
            <w:r>
              <w:rPr>
                <w:webHidden/>
              </w:rPr>
              <w:tab/>
            </w:r>
            <w:r>
              <w:rPr>
                <w:webHidden/>
              </w:rPr>
              <w:fldChar w:fldCharType="begin"/>
            </w:r>
            <w:r>
              <w:rPr>
                <w:webHidden/>
              </w:rPr>
              <w:instrText xml:space="preserve"> PAGEREF _Toc8811579 \h </w:instrText>
            </w:r>
            <w:r>
              <w:rPr>
                <w:webHidden/>
              </w:rPr>
            </w:r>
            <w:r>
              <w:rPr>
                <w:webHidden/>
              </w:rPr>
              <w:fldChar w:fldCharType="separate"/>
            </w:r>
            <w:r w:rsidR="00F83E66">
              <w:rPr>
                <w:webHidden/>
              </w:rPr>
              <w:t>7</w:t>
            </w:r>
            <w:r>
              <w:rPr>
                <w:webHidden/>
              </w:rPr>
              <w:fldChar w:fldCharType="end"/>
            </w:r>
          </w:hyperlink>
        </w:p>
        <w:p w14:paraId="6A5F8D6D" w14:textId="3D560202" w:rsidR="000B6C18" w:rsidRDefault="000B6C18">
          <w:pPr>
            <w:pStyle w:val="TOC1"/>
            <w:tabs>
              <w:tab w:val="right" w:leader="dot" w:pos="9350"/>
            </w:tabs>
            <w:rPr>
              <w:noProof/>
              <w:sz w:val="22"/>
              <w:szCs w:val="22"/>
            </w:rPr>
          </w:pPr>
          <w:hyperlink w:anchor="_Toc8811580" w:history="1">
            <w:r w:rsidRPr="00BA64BA">
              <w:rPr>
                <w:rStyle w:val="Hyperlink"/>
                <w:noProof/>
              </w:rPr>
              <w:t>SECTION 1.6</w:t>
            </w:r>
            <w:r>
              <w:rPr>
                <w:noProof/>
                <w:webHidden/>
              </w:rPr>
              <w:tab/>
            </w:r>
            <w:r>
              <w:rPr>
                <w:noProof/>
                <w:webHidden/>
              </w:rPr>
              <w:fldChar w:fldCharType="begin"/>
            </w:r>
            <w:r>
              <w:rPr>
                <w:noProof/>
                <w:webHidden/>
              </w:rPr>
              <w:instrText xml:space="preserve"> PAGEREF _Toc8811580 \h </w:instrText>
            </w:r>
            <w:r>
              <w:rPr>
                <w:noProof/>
                <w:webHidden/>
              </w:rPr>
            </w:r>
            <w:r>
              <w:rPr>
                <w:noProof/>
                <w:webHidden/>
              </w:rPr>
              <w:fldChar w:fldCharType="separate"/>
            </w:r>
            <w:r w:rsidR="00F83E66">
              <w:rPr>
                <w:noProof/>
                <w:webHidden/>
              </w:rPr>
              <w:t>10</w:t>
            </w:r>
            <w:r>
              <w:rPr>
                <w:noProof/>
                <w:webHidden/>
              </w:rPr>
              <w:fldChar w:fldCharType="end"/>
            </w:r>
          </w:hyperlink>
        </w:p>
        <w:p w14:paraId="6EC16EBA" w14:textId="0A12FAE4" w:rsidR="000B6C18" w:rsidRDefault="000B6C18">
          <w:pPr>
            <w:pStyle w:val="TOC3"/>
            <w:rPr>
              <w:caps w:val="0"/>
              <w:sz w:val="22"/>
              <w:szCs w:val="22"/>
            </w:rPr>
          </w:pPr>
          <w:hyperlink w:anchor="_Toc8811581" w:history="1">
            <w:r w:rsidRPr="00BA64BA">
              <w:rPr>
                <w:rStyle w:val="Hyperlink"/>
              </w:rPr>
              <w:t>Business Operations risk management policy</w:t>
            </w:r>
            <w:r>
              <w:rPr>
                <w:webHidden/>
              </w:rPr>
              <w:tab/>
            </w:r>
            <w:r>
              <w:rPr>
                <w:webHidden/>
              </w:rPr>
              <w:fldChar w:fldCharType="begin"/>
            </w:r>
            <w:r>
              <w:rPr>
                <w:webHidden/>
              </w:rPr>
              <w:instrText xml:space="preserve"> PAGEREF _Toc8811581 \h </w:instrText>
            </w:r>
            <w:r>
              <w:rPr>
                <w:webHidden/>
              </w:rPr>
            </w:r>
            <w:r>
              <w:rPr>
                <w:webHidden/>
              </w:rPr>
              <w:fldChar w:fldCharType="separate"/>
            </w:r>
            <w:r w:rsidR="00F83E66">
              <w:rPr>
                <w:webHidden/>
              </w:rPr>
              <w:t>10</w:t>
            </w:r>
            <w:r>
              <w:rPr>
                <w:webHidden/>
              </w:rPr>
              <w:fldChar w:fldCharType="end"/>
            </w:r>
          </w:hyperlink>
        </w:p>
        <w:p w14:paraId="0DC1D780" w14:textId="645731CE" w:rsidR="000B6C18" w:rsidRDefault="000B6C18">
          <w:pPr>
            <w:pStyle w:val="TOC1"/>
            <w:tabs>
              <w:tab w:val="right" w:leader="dot" w:pos="9350"/>
            </w:tabs>
            <w:rPr>
              <w:noProof/>
              <w:sz w:val="22"/>
              <w:szCs w:val="22"/>
            </w:rPr>
          </w:pPr>
          <w:hyperlink w:anchor="_Toc8811582" w:history="1">
            <w:r w:rsidRPr="00BA64BA">
              <w:rPr>
                <w:rStyle w:val="Hyperlink"/>
                <w:noProof/>
              </w:rPr>
              <w:t>SECTION 1.7</w:t>
            </w:r>
            <w:r>
              <w:rPr>
                <w:noProof/>
                <w:webHidden/>
              </w:rPr>
              <w:tab/>
            </w:r>
            <w:r>
              <w:rPr>
                <w:noProof/>
                <w:webHidden/>
              </w:rPr>
              <w:fldChar w:fldCharType="begin"/>
            </w:r>
            <w:r>
              <w:rPr>
                <w:noProof/>
                <w:webHidden/>
              </w:rPr>
              <w:instrText xml:space="preserve"> PAGEREF _Toc8811582 \h </w:instrText>
            </w:r>
            <w:r>
              <w:rPr>
                <w:noProof/>
                <w:webHidden/>
              </w:rPr>
            </w:r>
            <w:r>
              <w:rPr>
                <w:noProof/>
                <w:webHidden/>
              </w:rPr>
              <w:fldChar w:fldCharType="separate"/>
            </w:r>
            <w:r w:rsidR="00F83E66">
              <w:rPr>
                <w:noProof/>
                <w:webHidden/>
              </w:rPr>
              <w:t>13</w:t>
            </w:r>
            <w:r>
              <w:rPr>
                <w:noProof/>
                <w:webHidden/>
              </w:rPr>
              <w:fldChar w:fldCharType="end"/>
            </w:r>
          </w:hyperlink>
        </w:p>
        <w:p w14:paraId="6074FBC6" w14:textId="2F5C9F9D" w:rsidR="000B6C18" w:rsidRDefault="000B6C18">
          <w:pPr>
            <w:pStyle w:val="TOC3"/>
            <w:rPr>
              <w:caps w:val="0"/>
              <w:sz w:val="22"/>
              <w:szCs w:val="22"/>
            </w:rPr>
          </w:pPr>
          <w:hyperlink w:anchor="_Toc8811583" w:history="1">
            <w:r w:rsidRPr="00BA64BA">
              <w:rPr>
                <w:rStyle w:val="Hyperlink"/>
              </w:rPr>
              <w:t>energy risk management policy</w:t>
            </w:r>
            <w:r>
              <w:rPr>
                <w:webHidden/>
              </w:rPr>
              <w:tab/>
            </w:r>
            <w:r>
              <w:rPr>
                <w:webHidden/>
              </w:rPr>
              <w:fldChar w:fldCharType="begin"/>
            </w:r>
            <w:r>
              <w:rPr>
                <w:webHidden/>
              </w:rPr>
              <w:instrText xml:space="preserve"> PAGEREF _Toc8811583 \h </w:instrText>
            </w:r>
            <w:r>
              <w:rPr>
                <w:webHidden/>
              </w:rPr>
            </w:r>
            <w:r>
              <w:rPr>
                <w:webHidden/>
              </w:rPr>
              <w:fldChar w:fldCharType="separate"/>
            </w:r>
            <w:r w:rsidR="00F83E66">
              <w:rPr>
                <w:webHidden/>
              </w:rPr>
              <w:t>13</w:t>
            </w:r>
            <w:r>
              <w:rPr>
                <w:webHidden/>
              </w:rPr>
              <w:fldChar w:fldCharType="end"/>
            </w:r>
          </w:hyperlink>
        </w:p>
        <w:p w14:paraId="02EBD691" w14:textId="0E76974F" w:rsidR="000B6C18" w:rsidRDefault="000B6C18">
          <w:pPr>
            <w:pStyle w:val="TOC1"/>
            <w:tabs>
              <w:tab w:val="right" w:leader="dot" w:pos="9350"/>
            </w:tabs>
            <w:rPr>
              <w:noProof/>
              <w:sz w:val="22"/>
              <w:szCs w:val="22"/>
            </w:rPr>
          </w:pPr>
          <w:hyperlink w:anchor="_Toc8811584" w:history="1">
            <w:r w:rsidRPr="00BA64BA">
              <w:rPr>
                <w:rStyle w:val="Hyperlink"/>
                <w:noProof/>
              </w:rPr>
              <w:t>SECTION 1.8</w:t>
            </w:r>
            <w:r>
              <w:rPr>
                <w:noProof/>
                <w:webHidden/>
              </w:rPr>
              <w:tab/>
            </w:r>
            <w:r>
              <w:rPr>
                <w:noProof/>
                <w:webHidden/>
              </w:rPr>
              <w:fldChar w:fldCharType="begin"/>
            </w:r>
            <w:r>
              <w:rPr>
                <w:noProof/>
                <w:webHidden/>
              </w:rPr>
              <w:instrText xml:space="preserve"> PAGEREF _Toc8811584 \h </w:instrText>
            </w:r>
            <w:r>
              <w:rPr>
                <w:noProof/>
                <w:webHidden/>
              </w:rPr>
            </w:r>
            <w:r>
              <w:rPr>
                <w:noProof/>
                <w:webHidden/>
              </w:rPr>
              <w:fldChar w:fldCharType="separate"/>
            </w:r>
            <w:r w:rsidR="00F83E66">
              <w:rPr>
                <w:noProof/>
                <w:webHidden/>
              </w:rPr>
              <w:t>19</w:t>
            </w:r>
            <w:r>
              <w:rPr>
                <w:noProof/>
                <w:webHidden/>
              </w:rPr>
              <w:fldChar w:fldCharType="end"/>
            </w:r>
          </w:hyperlink>
        </w:p>
        <w:p w14:paraId="2C9320EA" w14:textId="2A5052AA" w:rsidR="000B6C18" w:rsidRDefault="000B6C18">
          <w:pPr>
            <w:pStyle w:val="TOC3"/>
            <w:rPr>
              <w:caps w:val="0"/>
              <w:sz w:val="22"/>
              <w:szCs w:val="22"/>
            </w:rPr>
          </w:pPr>
          <w:hyperlink w:anchor="_Toc8811585" w:history="1">
            <w:r w:rsidRPr="00BA64BA">
              <w:rPr>
                <w:rStyle w:val="Hyperlink"/>
              </w:rPr>
              <w:t>Financial Risk management Policy</w:t>
            </w:r>
            <w:r>
              <w:rPr>
                <w:webHidden/>
              </w:rPr>
              <w:tab/>
            </w:r>
            <w:r>
              <w:rPr>
                <w:webHidden/>
              </w:rPr>
              <w:fldChar w:fldCharType="begin"/>
            </w:r>
            <w:r>
              <w:rPr>
                <w:webHidden/>
              </w:rPr>
              <w:instrText xml:space="preserve"> PAGEREF _Toc8811585 \h </w:instrText>
            </w:r>
            <w:r>
              <w:rPr>
                <w:webHidden/>
              </w:rPr>
            </w:r>
            <w:r>
              <w:rPr>
                <w:webHidden/>
              </w:rPr>
              <w:fldChar w:fldCharType="separate"/>
            </w:r>
            <w:r w:rsidR="00F83E66">
              <w:rPr>
                <w:webHidden/>
              </w:rPr>
              <w:t>19</w:t>
            </w:r>
            <w:r>
              <w:rPr>
                <w:webHidden/>
              </w:rPr>
              <w:fldChar w:fldCharType="end"/>
            </w:r>
          </w:hyperlink>
        </w:p>
        <w:p w14:paraId="2362793E" w14:textId="5C5E03DB" w:rsidR="000B6C18" w:rsidRDefault="000B6C18">
          <w:pPr>
            <w:pStyle w:val="TOC1"/>
            <w:tabs>
              <w:tab w:val="right" w:leader="dot" w:pos="9350"/>
            </w:tabs>
            <w:rPr>
              <w:noProof/>
              <w:sz w:val="22"/>
              <w:szCs w:val="22"/>
            </w:rPr>
          </w:pPr>
          <w:hyperlink w:anchor="_Toc8811586" w:history="1">
            <w:r w:rsidRPr="00BA64BA">
              <w:rPr>
                <w:rStyle w:val="Hyperlink"/>
                <w:noProof/>
              </w:rPr>
              <w:t>SECTION 1.9</w:t>
            </w:r>
            <w:r>
              <w:rPr>
                <w:noProof/>
                <w:webHidden/>
              </w:rPr>
              <w:tab/>
            </w:r>
            <w:r>
              <w:rPr>
                <w:noProof/>
                <w:webHidden/>
              </w:rPr>
              <w:fldChar w:fldCharType="begin"/>
            </w:r>
            <w:r>
              <w:rPr>
                <w:noProof/>
                <w:webHidden/>
              </w:rPr>
              <w:instrText xml:space="preserve"> PAGEREF _Toc8811586 \h </w:instrText>
            </w:r>
            <w:r>
              <w:rPr>
                <w:noProof/>
                <w:webHidden/>
              </w:rPr>
            </w:r>
            <w:r>
              <w:rPr>
                <w:noProof/>
                <w:webHidden/>
              </w:rPr>
              <w:fldChar w:fldCharType="separate"/>
            </w:r>
            <w:r w:rsidR="00F83E66">
              <w:rPr>
                <w:noProof/>
                <w:webHidden/>
              </w:rPr>
              <w:t>21</w:t>
            </w:r>
            <w:r>
              <w:rPr>
                <w:noProof/>
                <w:webHidden/>
              </w:rPr>
              <w:fldChar w:fldCharType="end"/>
            </w:r>
          </w:hyperlink>
        </w:p>
        <w:p w14:paraId="13D20DE7" w14:textId="6F0AFE7B" w:rsidR="000B6C18" w:rsidRDefault="000B6C18">
          <w:pPr>
            <w:pStyle w:val="TOC3"/>
            <w:rPr>
              <w:caps w:val="0"/>
              <w:sz w:val="22"/>
              <w:szCs w:val="22"/>
            </w:rPr>
          </w:pPr>
          <w:hyperlink w:anchor="_Toc8811587" w:history="1">
            <w:r w:rsidRPr="00BA64BA">
              <w:rPr>
                <w:rStyle w:val="Hyperlink"/>
              </w:rPr>
              <w:t>Reference documents</w:t>
            </w:r>
            <w:r>
              <w:rPr>
                <w:webHidden/>
              </w:rPr>
              <w:tab/>
            </w:r>
            <w:r>
              <w:rPr>
                <w:webHidden/>
              </w:rPr>
              <w:fldChar w:fldCharType="begin"/>
            </w:r>
            <w:r>
              <w:rPr>
                <w:webHidden/>
              </w:rPr>
              <w:instrText xml:space="preserve"> PAGEREF _Toc8811587 \h </w:instrText>
            </w:r>
            <w:r>
              <w:rPr>
                <w:webHidden/>
              </w:rPr>
            </w:r>
            <w:r>
              <w:rPr>
                <w:webHidden/>
              </w:rPr>
              <w:fldChar w:fldCharType="separate"/>
            </w:r>
            <w:r w:rsidR="00F83E66">
              <w:rPr>
                <w:webHidden/>
              </w:rPr>
              <w:t>21</w:t>
            </w:r>
            <w:r>
              <w:rPr>
                <w:webHidden/>
              </w:rPr>
              <w:fldChar w:fldCharType="end"/>
            </w:r>
          </w:hyperlink>
        </w:p>
        <w:p w14:paraId="7C6C0A3E" w14:textId="6C469A8A" w:rsidR="000B6C18" w:rsidRDefault="000B6C18">
          <w:pPr>
            <w:pStyle w:val="TOC1"/>
            <w:tabs>
              <w:tab w:val="right" w:leader="dot" w:pos="9350"/>
            </w:tabs>
            <w:rPr>
              <w:noProof/>
              <w:sz w:val="22"/>
              <w:szCs w:val="22"/>
            </w:rPr>
          </w:pPr>
          <w:hyperlink w:anchor="_Toc8811588" w:history="1">
            <w:r w:rsidRPr="00BA64BA">
              <w:rPr>
                <w:rStyle w:val="Hyperlink"/>
                <w:noProof/>
              </w:rPr>
              <w:t>SECTION 1.10</w:t>
            </w:r>
            <w:r>
              <w:rPr>
                <w:noProof/>
                <w:webHidden/>
              </w:rPr>
              <w:tab/>
            </w:r>
            <w:r>
              <w:rPr>
                <w:noProof/>
                <w:webHidden/>
              </w:rPr>
              <w:fldChar w:fldCharType="begin"/>
            </w:r>
            <w:r>
              <w:rPr>
                <w:noProof/>
                <w:webHidden/>
              </w:rPr>
              <w:instrText xml:space="preserve"> PAGEREF _Toc8811588 \h </w:instrText>
            </w:r>
            <w:r>
              <w:rPr>
                <w:noProof/>
                <w:webHidden/>
              </w:rPr>
            </w:r>
            <w:r>
              <w:rPr>
                <w:noProof/>
                <w:webHidden/>
              </w:rPr>
              <w:fldChar w:fldCharType="separate"/>
            </w:r>
            <w:r w:rsidR="00F83E66">
              <w:rPr>
                <w:noProof/>
                <w:webHidden/>
              </w:rPr>
              <w:t>22</w:t>
            </w:r>
            <w:r>
              <w:rPr>
                <w:noProof/>
                <w:webHidden/>
              </w:rPr>
              <w:fldChar w:fldCharType="end"/>
            </w:r>
          </w:hyperlink>
        </w:p>
        <w:p w14:paraId="57D1D69F" w14:textId="7F70333B" w:rsidR="000B6C18" w:rsidRDefault="000B6C18">
          <w:pPr>
            <w:pStyle w:val="TOC3"/>
            <w:rPr>
              <w:caps w:val="0"/>
              <w:sz w:val="22"/>
              <w:szCs w:val="22"/>
            </w:rPr>
          </w:pPr>
          <w:hyperlink w:anchor="_Toc8811589" w:history="1">
            <w:r w:rsidRPr="00BA64BA">
              <w:rPr>
                <w:rStyle w:val="Hyperlink"/>
              </w:rPr>
              <w:t>Credit Policy</w:t>
            </w:r>
            <w:r>
              <w:rPr>
                <w:webHidden/>
              </w:rPr>
              <w:tab/>
            </w:r>
            <w:r>
              <w:rPr>
                <w:webHidden/>
              </w:rPr>
              <w:fldChar w:fldCharType="begin"/>
            </w:r>
            <w:r>
              <w:rPr>
                <w:webHidden/>
              </w:rPr>
              <w:instrText xml:space="preserve"> PAGEREF _Toc8811589 \h </w:instrText>
            </w:r>
            <w:r>
              <w:rPr>
                <w:webHidden/>
              </w:rPr>
            </w:r>
            <w:r>
              <w:rPr>
                <w:webHidden/>
              </w:rPr>
              <w:fldChar w:fldCharType="separate"/>
            </w:r>
            <w:r w:rsidR="00F83E66">
              <w:rPr>
                <w:webHidden/>
              </w:rPr>
              <w:t>22</w:t>
            </w:r>
            <w:r>
              <w:rPr>
                <w:webHidden/>
              </w:rPr>
              <w:fldChar w:fldCharType="end"/>
            </w:r>
          </w:hyperlink>
        </w:p>
        <w:p w14:paraId="28237365" w14:textId="1F677FDD" w:rsidR="000B6C18" w:rsidRDefault="000B6C18">
          <w:pPr>
            <w:pStyle w:val="TOC1"/>
            <w:tabs>
              <w:tab w:val="right" w:leader="dot" w:pos="9350"/>
            </w:tabs>
            <w:rPr>
              <w:noProof/>
              <w:sz w:val="22"/>
              <w:szCs w:val="22"/>
            </w:rPr>
          </w:pPr>
          <w:hyperlink w:anchor="_Toc8811590" w:history="1">
            <w:r w:rsidRPr="00BA64BA">
              <w:rPr>
                <w:rStyle w:val="Hyperlink"/>
                <w:noProof/>
              </w:rPr>
              <w:t>APPENDIX A</w:t>
            </w:r>
            <w:r>
              <w:rPr>
                <w:noProof/>
                <w:webHidden/>
              </w:rPr>
              <w:tab/>
            </w:r>
            <w:r>
              <w:rPr>
                <w:noProof/>
                <w:webHidden/>
              </w:rPr>
              <w:fldChar w:fldCharType="begin"/>
            </w:r>
            <w:r>
              <w:rPr>
                <w:noProof/>
                <w:webHidden/>
              </w:rPr>
              <w:instrText xml:space="preserve"> PAGEREF _Toc8811590 \h </w:instrText>
            </w:r>
            <w:r>
              <w:rPr>
                <w:noProof/>
                <w:webHidden/>
              </w:rPr>
            </w:r>
            <w:r>
              <w:rPr>
                <w:noProof/>
                <w:webHidden/>
              </w:rPr>
              <w:fldChar w:fldCharType="separate"/>
            </w:r>
            <w:r w:rsidR="00F83E66">
              <w:rPr>
                <w:noProof/>
                <w:webHidden/>
              </w:rPr>
              <w:t>29</w:t>
            </w:r>
            <w:r>
              <w:rPr>
                <w:noProof/>
                <w:webHidden/>
              </w:rPr>
              <w:fldChar w:fldCharType="end"/>
            </w:r>
          </w:hyperlink>
        </w:p>
        <w:p w14:paraId="730EB72A" w14:textId="1CCEAC80" w:rsidR="000B6C18" w:rsidRDefault="000B6C18">
          <w:pPr>
            <w:pStyle w:val="TOC3"/>
            <w:rPr>
              <w:caps w:val="0"/>
              <w:sz w:val="22"/>
              <w:szCs w:val="22"/>
            </w:rPr>
          </w:pPr>
          <w:hyperlink w:anchor="_Toc8811591" w:history="1">
            <w:r w:rsidRPr="00BA64BA">
              <w:rPr>
                <w:rStyle w:val="Hyperlink"/>
                <w:rFonts w:cstheme="minorHAnsi"/>
              </w:rPr>
              <w:t>Trading Authority Procedures</w:t>
            </w:r>
            <w:r>
              <w:rPr>
                <w:webHidden/>
              </w:rPr>
              <w:tab/>
            </w:r>
            <w:r>
              <w:rPr>
                <w:webHidden/>
              </w:rPr>
              <w:fldChar w:fldCharType="begin"/>
            </w:r>
            <w:r>
              <w:rPr>
                <w:webHidden/>
              </w:rPr>
              <w:instrText xml:space="preserve"> PAGEREF _Toc8811591 \h </w:instrText>
            </w:r>
            <w:r>
              <w:rPr>
                <w:webHidden/>
              </w:rPr>
            </w:r>
            <w:r>
              <w:rPr>
                <w:webHidden/>
              </w:rPr>
              <w:fldChar w:fldCharType="separate"/>
            </w:r>
            <w:r w:rsidR="00F83E66">
              <w:rPr>
                <w:webHidden/>
              </w:rPr>
              <w:t>29</w:t>
            </w:r>
            <w:r>
              <w:rPr>
                <w:webHidden/>
              </w:rPr>
              <w:fldChar w:fldCharType="end"/>
            </w:r>
          </w:hyperlink>
        </w:p>
        <w:p w14:paraId="6877C163" w14:textId="187DEFB4" w:rsidR="000F7273" w:rsidRDefault="0023388C" w:rsidP="00841E87">
          <w:pPr>
            <w:spacing w:before="120" w:after="120"/>
            <w:jc w:val="both"/>
            <w:rPr>
              <w:rFonts w:cstheme="minorHAnsi"/>
              <w:b/>
            </w:rPr>
          </w:pPr>
          <w:r>
            <w:rPr>
              <w:b/>
              <w:bCs/>
              <w:noProof/>
            </w:rPr>
            <w:fldChar w:fldCharType="end"/>
          </w:r>
        </w:p>
      </w:sdtContent>
    </w:sdt>
    <w:p w14:paraId="65EC76FF" w14:textId="3B9E1224" w:rsidR="000F7273" w:rsidRDefault="000F7273" w:rsidP="00841E87">
      <w:pPr>
        <w:spacing w:before="120" w:after="120"/>
        <w:jc w:val="both"/>
        <w:rPr>
          <w:rFonts w:cstheme="minorHAnsi"/>
          <w:b/>
        </w:rPr>
      </w:pPr>
    </w:p>
    <w:p w14:paraId="3A2AD26F" w14:textId="62A0D171" w:rsidR="000F7273" w:rsidRDefault="000F7273" w:rsidP="00841E87">
      <w:pPr>
        <w:spacing w:before="120" w:after="120"/>
        <w:jc w:val="both"/>
        <w:rPr>
          <w:rFonts w:cstheme="minorHAnsi"/>
          <w:b/>
        </w:rPr>
      </w:pPr>
    </w:p>
    <w:p w14:paraId="4E8FCA92" w14:textId="7D5B19CD" w:rsidR="000F7273" w:rsidRDefault="000F7273" w:rsidP="00841E87">
      <w:pPr>
        <w:spacing w:before="120" w:after="120"/>
        <w:jc w:val="both"/>
        <w:rPr>
          <w:rFonts w:cstheme="minorHAnsi"/>
          <w:b/>
        </w:rPr>
      </w:pPr>
    </w:p>
    <w:p w14:paraId="2AF9DAB7" w14:textId="4E486117" w:rsidR="000F7273" w:rsidRDefault="000F7273" w:rsidP="00841E87">
      <w:pPr>
        <w:spacing w:before="120" w:after="120"/>
        <w:jc w:val="both"/>
        <w:rPr>
          <w:rFonts w:cstheme="minorHAnsi"/>
          <w:b/>
        </w:rPr>
      </w:pPr>
    </w:p>
    <w:p w14:paraId="49C19B8D" w14:textId="77777777" w:rsidR="000F7273" w:rsidRPr="00D219CD" w:rsidRDefault="000F7273" w:rsidP="00841E87">
      <w:pPr>
        <w:spacing w:before="120" w:after="120"/>
        <w:jc w:val="both"/>
        <w:rPr>
          <w:rFonts w:cstheme="minorHAnsi"/>
          <w:b/>
        </w:rPr>
      </w:pPr>
    </w:p>
    <w:p w14:paraId="5097405A" w14:textId="77777777" w:rsidR="0050146D" w:rsidRDefault="0050146D" w:rsidP="000105F3">
      <w:pPr>
        <w:spacing w:before="120" w:after="120" w:line="240" w:lineRule="auto"/>
        <w:jc w:val="both"/>
        <w:rPr>
          <w:rFonts w:cstheme="minorHAnsi"/>
        </w:rPr>
        <w:sectPr w:rsidR="0050146D" w:rsidSect="0071331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14:paraId="49E6C78F" w14:textId="7219920A" w:rsidR="000F7273" w:rsidRDefault="000F7273" w:rsidP="000F7273">
      <w:pPr>
        <w:pStyle w:val="Heading1"/>
      </w:pPr>
      <w:bookmarkStart w:id="0" w:name="_Toc8811570"/>
      <w:r>
        <w:lastRenderedPageBreak/>
        <w:t>SECTION 1.1</w:t>
      </w:r>
      <w:bookmarkEnd w:id="0"/>
    </w:p>
    <w:p w14:paraId="358296FC" w14:textId="7A43D77F" w:rsidR="000F7273" w:rsidRPr="00B33B88" w:rsidRDefault="000F7273" w:rsidP="000F7273">
      <w:pPr>
        <w:pStyle w:val="Heading3"/>
      </w:pPr>
      <w:bookmarkStart w:id="1" w:name="_Toc8811571"/>
      <w:r>
        <w:t>KYMEA Enterprise Risk management policy</w:t>
      </w:r>
      <w:bookmarkEnd w:id="1"/>
    </w:p>
    <w:p w14:paraId="0E66E03B" w14:textId="77777777" w:rsidR="000F7273" w:rsidRPr="00D219CD" w:rsidRDefault="000F7273" w:rsidP="000F7273">
      <w:pPr>
        <w:spacing w:before="120" w:after="120"/>
        <w:jc w:val="both"/>
        <w:rPr>
          <w:rFonts w:cstheme="minorHAnsi"/>
          <w:b/>
        </w:rPr>
      </w:pPr>
      <w:r w:rsidRPr="00D219CD">
        <w:rPr>
          <w:rFonts w:cstheme="minorHAnsi"/>
          <w:b/>
        </w:rPr>
        <w:t>Policy Purpose</w:t>
      </w:r>
    </w:p>
    <w:p w14:paraId="1BB4E032" w14:textId="77777777" w:rsidR="000F7273" w:rsidRPr="00F720F4" w:rsidRDefault="000F7273" w:rsidP="000F7273">
      <w:pPr>
        <w:spacing w:before="120" w:after="120"/>
        <w:jc w:val="both"/>
        <w:rPr>
          <w:rFonts w:cstheme="minorHAnsi"/>
        </w:rPr>
      </w:pPr>
      <w:r w:rsidRPr="00F720F4">
        <w:rPr>
          <w:rFonts w:cstheme="minorHAnsi"/>
        </w:rPr>
        <w:t>The purpose of this document is to formalize the policies of Kentucky Municipal Energy Agency (“KYMEA”) regarding managing its enterprise-wide risks (“</w:t>
      </w:r>
      <w:r>
        <w:rPr>
          <w:rFonts w:cstheme="minorHAnsi"/>
        </w:rPr>
        <w:t>Enterprise Risks</w:t>
      </w:r>
      <w:r w:rsidRPr="00F720F4">
        <w:rPr>
          <w:rFonts w:cstheme="minorHAnsi"/>
        </w:rPr>
        <w:t>”).</w:t>
      </w:r>
      <w:r>
        <w:rPr>
          <w:rFonts w:cstheme="minorHAnsi"/>
        </w:rPr>
        <w:t xml:space="preserve"> </w:t>
      </w:r>
      <w:r w:rsidRPr="00F720F4">
        <w:rPr>
          <w:rFonts w:cstheme="minorHAnsi"/>
        </w:rPr>
        <w:t>Accordingly, this Policy will set forth KYMEA’s:</w:t>
      </w:r>
    </w:p>
    <w:p w14:paraId="0509B0D0" w14:textId="77777777" w:rsidR="000F7273" w:rsidRPr="00F720F4" w:rsidRDefault="000F7273" w:rsidP="007C17D3">
      <w:pPr>
        <w:numPr>
          <w:ilvl w:val="0"/>
          <w:numId w:val="12"/>
        </w:numPr>
        <w:spacing w:before="120" w:after="120" w:line="240" w:lineRule="auto"/>
        <w:jc w:val="both"/>
        <w:rPr>
          <w:rFonts w:cstheme="minorHAnsi"/>
        </w:rPr>
      </w:pPr>
      <w:r w:rsidRPr="00F720F4">
        <w:rPr>
          <w:rFonts w:cstheme="minorHAnsi"/>
        </w:rPr>
        <w:t>risk management objectives;</w:t>
      </w:r>
    </w:p>
    <w:p w14:paraId="1DC1377C" w14:textId="35C94C9D" w:rsidR="00841E87" w:rsidRPr="00F720F4" w:rsidRDefault="00841E87" w:rsidP="007C17D3">
      <w:pPr>
        <w:numPr>
          <w:ilvl w:val="0"/>
          <w:numId w:val="12"/>
        </w:numPr>
        <w:spacing w:before="120" w:after="120" w:line="240" w:lineRule="auto"/>
        <w:jc w:val="both"/>
        <w:rPr>
          <w:rFonts w:cstheme="minorHAnsi"/>
        </w:rPr>
      </w:pPr>
      <w:r w:rsidRPr="00F720F4">
        <w:rPr>
          <w:rFonts w:cstheme="minorHAnsi"/>
        </w:rPr>
        <w:t>identification of Enterprise</w:t>
      </w:r>
      <w:r>
        <w:rPr>
          <w:rFonts w:cstheme="minorHAnsi"/>
        </w:rPr>
        <w:t xml:space="preserve"> R</w:t>
      </w:r>
      <w:r w:rsidRPr="00F720F4">
        <w:rPr>
          <w:rFonts w:cstheme="minorHAnsi"/>
        </w:rPr>
        <w:t>isks governed by this policy;</w:t>
      </w:r>
    </w:p>
    <w:p w14:paraId="187A4540" w14:textId="77777777" w:rsidR="00841E87" w:rsidRPr="00F720F4" w:rsidRDefault="00841E87" w:rsidP="007C17D3">
      <w:pPr>
        <w:numPr>
          <w:ilvl w:val="0"/>
          <w:numId w:val="12"/>
        </w:numPr>
        <w:spacing w:before="120" w:after="120" w:line="240" w:lineRule="auto"/>
        <w:jc w:val="both"/>
        <w:rPr>
          <w:rFonts w:cstheme="minorHAnsi"/>
        </w:rPr>
      </w:pPr>
      <w:r w:rsidRPr="00F720F4">
        <w:rPr>
          <w:rFonts w:cstheme="minorHAnsi"/>
        </w:rPr>
        <w:t>definition of risks;</w:t>
      </w:r>
    </w:p>
    <w:p w14:paraId="25BF5A61" w14:textId="77777777" w:rsidR="00841E87" w:rsidRPr="00F720F4" w:rsidRDefault="00841E87" w:rsidP="007C17D3">
      <w:pPr>
        <w:numPr>
          <w:ilvl w:val="0"/>
          <w:numId w:val="12"/>
        </w:numPr>
        <w:spacing w:before="120" w:after="120" w:line="240" w:lineRule="auto"/>
        <w:jc w:val="both"/>
        <w:rPr>
          <w:rFonts w:cstheme="minorHAnsi"/>
        </w:rPr>
      </w:pPr>
      <w:r w:rsidRPr="00F720F4">
        <w:rPr>
          <w:rFonts w:cstheme="minorHAnsi"/>
        </w:rPr>
        <w:t>guidelines for the management of each identified risk; and</w:t>
      </w:r>
    </w:p>
    <w:p w14:paraId="38FB0292" w14:textId="77777777" w:rsidR="00841E87" w:rsidRPr="00F720F4" w:rsidRDefault="00841E87" w:rsidP="007C17D3">
      <w:pPr>
        <w:numPr>
          <w:ilvl w:val="0"/>
          <w:numId w:val="12"/>
        </w:numPr>
        <w:spacing w:before="120" w:after="120" w:line="240" w:lineRule="auto"/>
        <w:jc w:val="both"/>
        <w:rPr>
          <w:rFonts w:cstheme="minorHAnsi"/>
        </w:rPr>
      </w:pPr>
      <w:r w:rsidRPr="00F720F4">
        <w:rPr>
          <w:rFonts w:cstheme="minorHAnsi"/>
        </w:rPr>
        <w:t>risk governance structure and responsibilities.</w:t>
      </w:r>
    </w:p>
    <w:p w14:paraId="109E71E2" w14:textId="77777777" w:rsidR="00841E87" w:rsidRPr="00F720F4" w:rsidRDefault="00841E87" w:rsidP="00841E87">
      <w:pPr>
        <w:spacing w:before="120" w:after="120"/>
        <w:jc w:val="both"/>
        <w:rPr>
          <w:rFonts w:cstheme="minorHAnsi"/>
        </w:rPr>
      </w:pPr>
      <w:r w:rsidRPr="00F720F4">
        <w:rPr>
          <w:rFonts w:cstheme="minorHAnsi"/>
        </w:rPr>
        <w:t>KYMEA intends that risk management will support the advancement of its strategic business plan, and will properly manage its business and financial risks through:</w:t>
      </w:r>
    </w:p>
    <w:p w14:paraId="2983B296"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prudent oversight;</w:t>
      </w:r>
    </w:p>
    <w:p w14:paraId="3C66E2E8"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adequate mitigation of risks consistent with KYMEA’s defined risk tolerance; and</w:t>
      </w:r>
    </w:p>
    <w:p w14:paraId="521BC3E2"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effective internal controls and procedures.</w:t>
      </w:r>
    </w:p>
    <w:p w14:paraId="0E369AA2" w14:textId="74CFA55F" w:rsidR="00841E87" w:rsidRDefault="00841E87" w:rsidP="00841E87">
      <w:pPr>
        <w:spacing w:before="120" w:after="120"/>
        <w:jc w:val="both"/>
        <w:rPr>
          <w:rFonts w:cstheme="minorHAnsi"/>
        </w:rPr>
      </w:pPr>
      <w:bookmarkStart w:id="2" w:name="_Hlk3825243"/>
      <w:r w:rsidRPr="00F720F4">
        <w:rPr>
          <w:rFonts w:cstheme="minorHAnsi"/>
        </w:rPr>
        <w:t xml:space="preserve">The KYMEA </w:t>
      </w:r>
      <w:r w:rsidR="007C2596">
        <w:rPr>
          <w:rFonts w:cstheme="minorHAnsi"/>
        </w:rPr>
        <w:t xml:space="preserve">Enterprise </w:t>
      </w:r>
      <w:r w:rsidRPr="00F720F4">
        <w:rPr>
          <w:rFonts w:cstheme="minorHAnsi"/>
        </w:rPr>
        <w:t>Risk Management Policy</w:t>
      </w:r>
      <w:r w:rsidR="00B74CAF">
        <w:rPr>
          <w:rFonts w:cstheme="minorHAnsi"/>
        </w:rPr>
        <w:t>, (</w:t>
      </w:r>
      <w:r w:rsidR="00E0070A">
        <w:rPr>
          <w:rFonts w:cstheme="minorHAnsi"/>
        </w:rPr>
        <w:t>the “Risk Management Policy”)</w:t>
      </w:r>
      <w:r w:rsidRPr="00F720F4">
        <w:rPr>
          <w:rFonts w:cstheme="minorHAnsi"/>
        </w:rPr>
        <w:t xml:space="preserve"> will outline the fundamental guidelines for the management of each risk identified.</w:t>
      </w:r>
      <w:r>
        <w:rPr>
          <w:rFonts w:cstheme="minorHAnsi"/>
        </w:rPr>
        <w:t xml:space="preserve"> </w:t>
      </w:r>
      <w:r w:rsidRPr="00F720F4">
        <w:rPr>
          <w:rFonts w:cstheme="minorHAnsi"/>
        </w:rPr>
        <w:t>Administrative controls and operating procedures needed to effectively implement the Risk Management Policy will be documented in the Administrative and Operating Procedures (the “</w:t>
      </w:r>
      <w:r>
        <w:rPr>
          <w:rFonts w:cstheme="minorHAnsi"/>
        </w:rPr>
        <w:t>Procedures</w:t>
      </w:r>
      <w:r w:rsidRPr="00F720F4">
        <w:rPr>
          <w:rFonts w:cstheme="minorHAnsi"/>
        </w:rPr>
        <w:t>”) provided for by the Policy.</w:t>
      </w:r>
    </w:p>
    <w:bookmarkEnd w:id="2"/>
    <w:p w14:paraId="6F32BFF1" w14:textId="08FA6196" w:rsidR="00E72530" w:rsidRDefault="00E72530" w:rsidP="00841E87">
      <w:pPr>
        <w:spacing w:before="120" w:after="120"/>
        <w:jc w:val="both"/>
        <w:rPr>
          <w:rFonts w:cstheme="minorHAnsi"/>
        </w:rPr>
      </w:pPr>
    </w:p>
    <w:p w14:paraId="087E73AA" w14:textId="7627EEC3" w:rsidR="00E72530" w:rsidRDefault="00E72530" w:rsidP="00841E87">
      <w:pPr>
        <w:spacing w:before="120" w:after="120"/>
        <w:jc w:val="both"/>
        <w:rPr>
          <w:rFonts w:cstheme="minorHAnsi"/>
        </w:rPr>
      </w:pPr>
    </w:p>
    <w:p w14:paraId="74FF9CE8" w14:textId="0D336A0B" w:rsidR="00E72530" w:rsidRDefault="00E72530" w:rsidP="00841E87">
      <w:pPr>
        <w:spacing w:before="120" w:after="120"/>
        <w:jc w:val="both"/>
        <w:rPr>
          <w:rFonts w:cstheme="minorHAnsi"/>
        </w:rPr>
      </w:pPr>
    </w:p>
    <w:p w14:paraId="0877E1EB" w14:textId="7A22B781" w:rsidR="00E72530" w:rsidRDefault="00E72530" w:rsidP="00841E87">
      <w:pPr>
        <w:spacing w:before="120" w:after="120"/>
        <w:jc w:val="both"/>
        <w:rPr>
          <w:rFonts w:cstheme="minorHAnsi"/>
        </w:rPr>
      </w:pPr>
    </w:p>
    <w:p w14:paraId="20E6C67A" w14:textId="5058FE7A" w:rsidR="00E72530" w:rsidRDefault="00E72530" w:rsidP="00841E87">
      <w:pPr>
        <w:spacing w:before="120" w:after="120"/>
        <w:jc w:val="both"/>
        <w:rPr>
          <w:rFonts w:cstheme="minorHAnsi"/>
        </w:rPr>
      </w:pPr>
    </w:p>
    <w:p w14:paraId="01276517" w14:textId="5F5DE3DE" w:rsidR="00E72530" w:rsidRDefault="00E72530" w:rsidP="00841E87">
      <w:pPr>
        <w:spacing w:before="120" w:after="120"/>
        <w:jc w:val="both"/>
        <w:rPr>
          <w:rFonts w:cstheme="minorHAnsi"/>
        </w:rPr>
      </w:pPr>
    </w:p>
    <w:p w14:paraId="2FFBA48D" w14:textId="63E47F8D" w:rsidR="00E72530" w:rsidRDefault="00E72530" w:rsidP="00841E87">
      <w:pPr>
        <w:spacing w:before="120" w:after="120"/>
        <w:jc w:val="both"/>
        <w:rPr>
          <w:rFonts w:cstheme="minorHAnsi"/>
        </w:rPr>
      </w:pPr>
    </w:p>
    <w:p w14:paraId="4FFE2541" w14:textId="63E81111" w:rsidR="00E72530" w:rsidRDefault="00E72530" w:rsidP="00841E87">
      <w:pPr>
        <w:spacing w:before="120" w:after="120"/>
        <w:jc w:val="both"/>
        <w:rPr>
          <w:rFonts w:cstheme="minorHAnsi"/>
        </w:rPr>
      </w:pPr>
    </w:p>
    <w:p w14:paraId="58E3ACF0" w14:textId="316E6561" w:rsidR="00E72530" w:rsidRDefault="00E72530" w:rsidP="00841E87">
      <w:pPr>
        <w:spacing w:before="120" w:after="120"/>
        <w:jc w:val="both"/>
        <w:rPr>
          <w:rFonts w:cstheme="minorHAnsi"/>
        </w:rPr>
      </w:pPr>
    </w:p>
    <w:p w14:paraId="55985543" w14:textId="778F7E0C" w:rsidR="001E7FB5" w:rsidRDefault="001E7FB5" w:rsidP="001E7FB5">
      <w:pPr>
        <w:pStyle w:val="Heading1"/>
      </w:pPr>
      <w:bookmarkStart w:id="3" w:name="_Toc8811572"/>
      <w:r>
        <w:lastRenderedPageBreak/>
        <w:t>SECTION 1.</w:t>
      </w:r>
      <w:r w:rsidR="00393BBA">
        <w:t>2</w:t>
      </w:r>
      <w:bookmarkEnd w:id="3"/>
    </w:p>
    <w:p w14:paraId="70BA7A46" w14:textId="5AF1D36A" w:rsidR="001E7FB5" w:rsidRPr="00B33B88" w:rsidRDefault="00B33B88" w:rsidP="00B33B88">
      <w:pPr>
        <w:pStyle w:val="Heading3"/>
      </w:pPr>
      <w:bookmarkStart w:id="4" w:name="_Toc8811573"/>
      <w:r>
        <w:t>Strategic planning process</w:t>
      </w:r>
      <w:bookmarkEnd w:id="4"/>
    </w:p>
    <w:p w14:paraId="6C68859F" w14:textId="7C950CC0" w:rsidR="009C6513" w:rsidRPr="009C6513" w:rsidRDefault="009C6513" w:rsidP="009C6513">
      <w:pPr>
        <w:rPr>
          <w:rFonts w:cstheme="minorHAnsi"/>
        </w:rPr>
      </w:pPr>
      <w:r w:rsidRPr="009C6513">
        <w:rPr>
          <w:rFonts w:cstheme="minorHAnsi"/>
        </w:rPr>
        <w:t>Managing the Enterprise Risks of KYMEA’s business entails the strategic planning of resources and activities among all departments within KYMEA.</w:t>
      </w:r>
    </w:p>
    <w:p w14:paraId="20D371B0" w14:textId="00DB044D" w:rsidR="00EB1A7C" w:rsidRDefault="009C6513" w:rsidP="009C6513">
      <w:r w:rsidRPr="009C6513">
        <w:rPr>
          <w:rFonts w:cstheme="minorHAnsi"/>
        </w:rPr>
        <w:t xml:space="preserve">KYMEA will develop a strategic planning process that identifies and addresses strategic issues, high priority risks, and gaps in the Enterprise Risk management framework. The strategic planning process will be utilized to identify and anticipate strategic issues and risks, understand the assumptions, quantify these risks, and enable KYMEA to develop and implement effective strategies to address them.  </w:t>
      </w:r>
    </w:p>
    <w:p w14:paraId="742F9893" w14:textId="60FD31D1" w:rsidR="00EB1A7C" w:rsidRDefault="00EB1A7C" w:rsidP="00EB1A7C"/>
    <w:p w14:paraId="6C6D06D9" w14:textId="2DACB090" w:rsidR="00EB1A7C" w:rsidRDefault="00EB1A7C" w:rsidP="00EB1A7C"/>
    <w:p w14:paraId="54FE565C" w14:textId="3C43DD4A" w:rsidR="00EB1A7C" w:rsidRDefault="00EB1A7C" w:rsidP="00EB1A7C"/>
    <w:p w14:paraId="128D3FDE" w14:textId="4FD7F546" w:rsidR="00EB1A7C" w:rsidRDefault="00EB1A7C" w:rsidP="00EB1A7C"/>
    <w:p w14:paraId="2AE95F2A" w14:textId="55F494D7" w:rsidR="00EB1A7C" w:rsidRDefault="00EB1A7C" w:rsidP="00EB1A7C"/>
    <w:p w14:paraId="22FED9FE" w14:textId="25FDAF9B" w:rsidR="00EB1A7C" w:rsidRDefault="00EB1A7C" w:rsidP="00EB1A7C"/>
    <w:p w14:paraId="104687FB" w14:textId="7CDB6446" w:rsidR="00EB1A7C" w:rsidRDefault="00EB1A7C" w:rsidP="00EB1A7C"/>
    <w:p w14:paraId="07A2C533" w14:textId="0A73DB12" w:rsidR="00EB1A7C" w:rsidRDefault="00EB1A7C" w:rsidP="00EB1A7C"/>
    <w:p w14:paraId="19A7F518" w14:textId="5B724BFF" w:rsidR="00EB1A7C" w:rsidRDefault="00EB1A7C" w:rsidP="00EB1A7C"/>
    <w:p w14:paraId="4ADA4AE8" w14:textId="337874E2" w:rsidR="00EB1A7C" w:rsidRDefault="00EB1A7C" w:rsidP="00EB1A7C"/>
    <w:p w14:paraId="2F28CA55" w14:textId="4AE6FC9D" w:rsidR="00EB1A7C" w:rsidRDefault="00EB1A7C" w:rsidP="00EB1A7C"/>
    <w:p w14:paraId="1A75F5CB" w14:textId="3A632FA8" w:rsidR="00EB1A7C" w:rsidRDefault="00EB1A7C" w:rsidP="00EB1A7C"/>
    <w:p w14:paraId="0A2821BE" w14:textId="40A3241B" w:rsidR="00EB1A7C" w:rsidRDefault="00EB1A7C" w:rsidP="00EB1A7C"/>
    <w:p w14:paraId="4DACEE7C" w14:textId="7E45DA3E" w:rsidR="00EB1A7C" w:rsidRDefault="00EB1A7C" w:rsidP="00EB1A7C"/>
    <w:p w14:paraId="58D27C80" w14:textId="222AC7BF" w:rsidR="00EB1A7C" w:rsidRDefault="00EB1A7C" w:rsidP="00EB1A7C"/>
    <w:p w14:paraId="5E3DA787" w14:textId="77777777" w:rsidR="00B7430B" w:rsidRDefault="00B7430B" w:rsidP="00EB1A7C"/>
    <w:p w14:paraId="7F240A9F" w14:textId="729FF9E3" w:rsidR="00EB1A7C" w:rsidRDefault="00EB1A7C" w:rsidP="00EB1A7C">
      <w:pPr>
        <w:pStyle w:val="Heading1"/>
      </w:pPr>
      <w:bookmarkStart w:id="5" w:name="_Toc8811574"/>
      <w:r>
        <w:lastRenderedPageBreak/>
        <w:t>SECTION 1.</w:t>
      </w:r>
      <w:r w:rsidR="00393BBA">
        <w:t>3</w:t>
      </w:r>
      <w:bookmarkEnd w:id="5"/>
    </w:p>
    <w:p w14:paraId="24B87272" w14:textId="6E55B990" w:rsidR="00EB1A7C" w:rsidRDefault="00EB1A7C" w:rsidP="00EB1A7C">
      <w:pPr>
        <w:pStyle w:val="Heading3"/>
      </w:pPr>
      <w:bookmarkStart w:id="6" w:name="_Toc8811575"/>
      <w:r>
        <w:t>risk management objectives</w:t>
      </w:r>
      <w:bookmarkEnd w:id="6"/>
    </w:p>
    <w:p w14:paraId="0DF60B87" w14:textId="77777777" w:rsidR="00841E87" w:rsidRPr="00F720F4" w:rsidRDefault="00841E87" w:rsidP="00841E87">
      <w:pPr>
        <w:spacing w:before="120" w:after="120"/>
        <w:jc w:val="both"/>
        <w:rPr>
          <w:rFonts w:cstheme="minorHAnsi"/>
        </w:rPr>
      </w:pPr>
      <w:r w:rsidRPr="00F720F4">
        <w:rPr>
          <w:rFonts w:cstheme="minorHAnsi"/>
        </w:rPr>
        <w:t>KYMEA exists primarily to provide cost-effective resources and services for the benefit of its members to enable them to achieve objectives they have set for themselves more efficiently and at lower costs than they could achieve individually.</w:t>
      </w:r>
      <w:r>
        <w:rPr>
          <w:rFonts w:cstheme="minorHAnsi"/>
        </w:rPr>
        <w:t xml:space="preserve"> </w:t>
      </w:r>
      <w:r w:rsidRPr="00F720F4">
        <w:rPr>
          <w:rFonts w:cstheme="minorHAnsi"/>
        </w:rPr>
        <w:t xml:space="preserve">Managing KYMEA’s </w:t>
      </w:r>
      <w:r>
        <w:rPr>
          <w:rFonts w:cstheme="minorHAnsi"/>
        </w:rPr>
        <w:t>Enterprise Risk</w:t>
      </w:r>
      <w:r w:rsidRPr="00F720F4">
        <w:rPr>
          <w:rFonts w:cstheme="minorHAnsi"/>
        </w:rPr>
        <w:t xml:space="preserve"> is consistent with that goal, and serves the following objectives:</w:t>
      </w:r>
    </w:p>
    <w:p w14:paraId="3324E5E1"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maintain risk within desired tolerances for a defined period in the future</w:t>
      </w:r>
      <w:r>
        <w:rPr>
          <w:rFonts w:cstheme="minorHAnsi"/>
        </w:rPr>
        <w:t>;</w:t>
      </w:r>
    </w:p>
    <w:p w14:paraId="2993A62E"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 xml:space="preserve">mitigate price volatility </w:t>
      </w:r>
      <w:r>
        <w:rPr>
          <w:rFonts w:cstheme="minorHAnsi"/>
        </w:rPr>
        <w:t xml:space="preserve">to </w:t>
      </w:r>
      <w:r w:rsidRPr="00F720F4">
        <w:rPr>
          <w:rFonts w:cstheme="minorHAnsi"/>
        </w:rPr>
        <w:t>the members</w:t>
      </w:r>
      <w:r>
        <w:rPr>
          <w:rFonts w:cstheme="minorHAnsi"/>
        </w:rPr>
        <w:t>;</w:t>
      </w:r>
    </w:p>
    <w:p w14:paraId="205B0A74"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maintain financial liquidity within desired tolerances</w:t>
      </w:r>
      <w:r>
        <w:rPr>
          <w:rFonts w:cstheme="minorHAnsi"/>
        </w:rPr>
        <w:t>;</w:t>
      </w:r>
    </w:p>
    <w:p w14:paraId="5FACD284"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maintain an investment grade credit rating</w:t>
      </w:r>
      <w:r>
        <w:rPr>
          <w:rFonts w:cstheme="minorHAnsi"/>
        </w:rPr>
        <w:t>;</w:t>
      </w:r>
    </w:p>
    <w:p w14:paraId="0414EBA5"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comply with all regulatory and reliability requirements</w:t>
      </w:r>
      <w:r>
        <w:rPr>
          <w:rFonts w:cstheme="minorHAnsi"/>
        </w:rPr>
        <w:t>;</w:t>
      </w:r>
    </w:p>
    <w:p w14:paraId="31A0DCAE"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 xml:space="preserve">protect KYMEA from and improve its resilience </w:t>
      </w:r>
      <w:r>
        <w:rPr>
          <w:rFonts w:cstheme="minorHAnsi"/>
        </w:rPr>
        <w:t xml:space="preserve">to </w:t>
      </w:r>
      <w:r w:rsidRPr="00F720F4">
        <w:rPr>
          <w:rFonts w:cstheme="minorHAnsi"/>
        </w:rPr>
        <w:t>physical and cyber security threats</w:t>
      </w:r>
      <w:r>
        <w:rPr>
          <w:rFonts w:cstheme="minorHAnsi"/>
        </w:rPr>
        <w:t>;</w:t>
      </w:r>
    </w:p>
    <w:p w14:paraId="033EBA7C"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reduce business interruptions and limit associated impacts</w:t>
      </w:r>
      <w:r>
        <w:rPr>
          <w:rFonts w:cstheme="minorHAnsi"/>
        </w:rPr>
        <w:t>;</w:t>
      </w:r>
      <w:r w:rsidRPr="00F720F4">
        <w:rPr>
          <w:rFonts w:cstheme="minorHAnsi"/>
        </w:rPr>
        <w:t xml:space="preserve"> </w:t>
      </w:r>
    </w:p>
    <w:p w14:paraId="1884CE2A"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enhance the value of KYMEA’s assets/resources</w:t>
      </w:r>
      <w:r>
        <w:rPr>
          <w:rFonts w:cstheme="minorHAnsi"/>
        </w:rPr>
        <w:t>;</w:t>
      </w:r>
    </w:p>
    <w:p w14:paraId="39E5CDB1" w14:textId="12C243C4"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leverage opportunities</w:t>
      </w:r>
      <w:r w:rsidR="00930976">
        <w:rPr>
          <w:rFonts w:cstheme="minorHAnsi"/>
        </w:rPr>
        <w:t xml:space="preserve"> to</w:t>
      </w:r>
      <w:r w:rsidRPr="00F720F4">
        <w:rPr>
          <w:rFonts w:cstheme="minorHAnsi"/>
        </w:rPr>
        <w:t xml:space="preserve"> increase the value of KYMEA </w:t>
      </w:r>
      <w:r w:rsidR="00CD6C15">
        <w:rPr>
          <w:rFonts w:cstheme="minorHAnsi"/>
        </w:rPr>
        <w:t xml:space="preserve">to </w:t>
      </w:r>
      <w:r w:rsidRPr="00F720F4">
        <w:rPr>
          <w:rFonts w:cstheme="minorHAnsi"/>
        </w:rPr>
        <w:t>its members</w:t>
      </w:r>
      <w:r>
        <w:rPr>
          <w:rFonts w:cstheme="minorHAnsi"/>
        </w:rPr>
        <w:t>;</w:t>
      </w:r>
      <w:r w:rsidRPr="00F720F4">
        <w:rPr>
          <w:rFonts w:cstheme="minorHAnsi"/>
        </w:rPr>
        <w:t xml:space="preserve"> </w:t>
      </w:r>
    </w:p>
    <w:p w14:paraId="4010E521" w14:textId="77777777" w:rsidR="00841E87" w:rsidRPr="00F720F4" w:rsidRDefault="00841E87" w:rsidP="007C17D3">
      <w:pPr>
        <w:numPr>
          <w:ilvl w:val="0"/>
          <w:numId w:val="11"/>
        </w:numPr>
        <w:spacing w:before="120" w:after="120" w:line="240" w:lineRule="auto"/>
        <w:jc w:val="both"/>
        <w:rPr>
          <w:rFonts w:cstheme="minorHAnsi"/>
        </w:rPr>
      </w:pPr>
      <w:r w:rsidRPr="00F720F4">
        <w:rPr>
          <w:rFonts w:cstheme="minorHAnsi"/>
        </w:rPr>
        <w:t>participate in commodity markets and derivative instruments for hedging and not for speculative purposes</w:t>
      </w:r>
      <w:r>
        <w:rPr>
          <w:rFonts w:cstheme="minorHAnsi"/>
        </w:rPr>
        <w:t>;</w:t>
      </w:r>
      <w:r w:rsidRPr="00F720F4">
        <w:rPr>
          <w:rFonts w:cstheme="minorHAnsi"/>
        </w:rPr>
        <w:t xml:space="preserve"> and</w:t>
      </w:r>
    </w:p>
    <w:p w14:paraId="6332F70E" w14:textId="6E98A836" w:rsidR="00841E87" w:rsidRDefault="00841E87" w:rsidP="007C17D3">
      <w:pPr>
        <w:numPr>
          <w:ilvl w:val="0"/>
          <w:numId w:val="11"/>
        </w:numPr>
        <w:spacing w:before="120" w:after="120" w:line="240" w:lineRule="auto"/>
        <w:jc w:val="both"/>
        <w:rPr>
          <w:rFonts w:cstheme="minorHAnsi"/>
        </w:rPr>
      </w:pPr>
      <w:r w:rsidRPr="00F720F4">
        <w:rPr>
          <w:rFonts w:cstheme="minorHAnsi"/>
        </w:rPr>
        <w:t xml:space="preserve">develop an </w:t>
      </w:r>
      <w:r>
        <w:rPr>
          <w:rFonts w:cstheme="minorHAnsi"/>
        </w:rPr>
        <w:t>E</w:t>
      </w:r>
      <w:r w:rsidRPr="00F720F4">
        <w:rPr>
          <w:rFonts w:cstheme="minorHAnsi"/>
        </w:rPr>
        <w:t xml:space="preserve">nterprise </w:t>
      </w:r>
      <w:r>
        <w:rPr>
          <w:rFonts w:cstheme="minorHAnsi"/>
        </w:rPr>
        <w:t>R</w:t>
      </w:r>
      <w:r w:rsidRPr="00F720F4">
        <w:rPr>
          <w:rFonts w:cstheme="minorHAnsi"/>
        </w:rPr>
        <w:t xml:space="preserve">isk </w:t>
      </w:r>
      <w:r>
        <w:rPr>
          <w:rFonts w:cstheme="minorHAnsi"/>
        </w:rPr>
        <w:t>M</w:t>
      </w:r>
      <w:r w:rsidRPr="00F720F4">
        <w:rPr>
          <w:rFonts w:cstheme="minorHAnsi"/>
        </w:rPr>
        <w:t>anagement (“</w:t>
      </w:r>
      <w:r>
        <w:rPr>
          <w:rFonts w:cstheme="minorHAnsi"/>
        </w:rPr>
        <w:t>Risk Management</w:t>
      </w:r>
      <w:r w:rsidRPr="00F720F4">
        <w:rPr>
          <w:rFonts w:cstheme="minorHAnsi"/>
        </w:rPr>
        <w:t>”) culture throughout the organization and provide for an ongoing strategic planning process.</w:t>
      </w:r>
    </w:p>
    <w:p w14:paraId="717A1C25" w14:textId="7496B372" w:rsidR="00EB1A7C" w:rsidRDefault="00EB1A7C" w:rsidP="00EB1A7C">
      <w:pPr>
        <w:spacing w:before="120" w:after="120" w:line="240" w:lineRule="auto"/>
        <w:jc w:val="both"/>
        <w:rPr>
          <w:rFonts w:cstheme="minorHAnsi"/>
        </w:rPr>
      </w:pPr>
    </w:p>
    <w:p w14:paraId="546F0DEE" w14:textId="4376447E" w:rsidR="00EB1A7C" w:rsidRDefault="00EB1A7C" w:rsidP="00EB1A7C">
      <w:pPr>
        <w:spacing w:before="120" w:after="120" w:line="240" w:lineRule="auto"/>
        <w:jc w:val="both"/>
        <w:rPr>
          <w:rFonts w:cstheme="minorHAnsi"/>
        </w:rPr>
      </w:pPr>
    </w:p>
    <w:p w14:paraId="2B2E783B" w14:textId="30C73CD6" w:rsidR="00EB1A7C" w:rsidRDefault="00EB1A7C" w:rsidP="00EB1A7C">
      <w:pPr>
        <w:spacing w:before="120" w:after="120" w:line="240" w:lineRule="auto"/>
        <w:jc w:val="both"/>
        <w:rPr>
          <w:rFonts w:cstheme="minorHAnsi"/>
        </w:rPr>
      </w:pPr>
    </w:p>
    <w:p w14:paraId="6675A991" w14:textId="4AF718FC" w:rsidR="00EB1A7C" w:rsidRDefault="00EB1A7C" w:rsidP="00EB1A7C">
      <w:pPr>
        <w:spacing w:before="120" w:after="120" w:line="240" w:lineRule="auto"/>
        <w:jc w:val="both"/>
        <w:rPr>
          <w:rFonts w:cstheme="minorHAnsi"/>
        </w:rPr>
      </w:pPr>
    </w:p>
    <w:p w14:paraId="04865850" w14:textId="30F6A398" w:rsidR="00EB1A7C" w:rsidRDefault="00EB1A7C" w:rsidP="00EB1A7C">
      <w:pPr>
        <w:spacing w:before="120" w:after="120" w:line="240" w:lineRule="auto"/>
        <w:jc w:val="both"/>
        <w:rPr>
          <w:rFonts w:cstheme="minorHAnsi"/>
        </w:rPr>
      </w:pPr>
    </w:p>
    <w:p w14:paraId="00EED058" w14:textId="64BB7671" w:rsidR="00EB1A7C" w:rsidRDefault="00EB1A7C" w:rsidP="00EB1A7C">
      <w:pPr>
        <w:spacing w:before="120" w:after="120" w:line="240" w:lineRule="auto"/>
        <w:jc w:val="both"/>
        <w:rPr>
          <w:rFonts w:cstheme="minorHAnsi"/>
        </w:rPr>
      </w:pPr>
    </w:p>
    <w:p w14:paraId="06BBA8EB" w14:textId="684BF278" w:rsidR="00EB1A7C" w:rsidRDefault="00EB1A7C" w:rsidP="00EB1A7C">
      <w:pPr>
        <w:spacing w:before="120" w:after="120" w:line="240" w:lineRule="auto"/>
        <w:jc w:val="both"/>
        <w:rPr>
          <w:rFonts w:cstheme="minorHAnsi"/>
        </w:rPr>
      </w:pPr>
    </w:p>
    <w:p w14:paraId="44A1E127" w14:textId="11475CCD" w:rsidR="00EB1A7C" w:rsidRDefault="00EB1A7C" w:rsidP="00EB1A7C">
      <w:pPr>
        <w:spacing w:before="120" w:after="120" w:line="240" w:lineRule="auto"/>
        <w:jc w:val="both"/>
        <w:rPr>
          <w:rFonts w:cstheme="minorHAnsi"/>
        </w:rPr>
      </w:pPr>
    </w:p>
    <w:p w14:paraId="79BFF0D2" w14:textId="5386AC03" w:rsidR="00EB1A7C" w:rsidRDefault="00EB1A7C" w:rsidP="00EB1A7C">
      <w:pPr>
        <w:spacing w:before="120" w:after="120" w:line="240" w:lineRule="auto"/>
        <w:jc w:val="both"/>
        <w:rPr>
          <w:rFonts w:cstheme="minorHAnsi"/>
        </w:rPr>
      </w:pPr>
    </w:p>
    <w:p w14:paraId="7081D584" w14:textId="3FE90E68" w:rsidR="00EB1A7C" w:rsidRDefault="00EB1A7C" w:rsidP="00EB1A7C">
      <w:pPr>
        <w:spacing w:before="120" w:after="120" w:line="240" w:lineRule="auto"/>
        <w:jc w:val="both"/>
        <w:rPr>
          <w:rFonts w:cstheme="minorHAnsi"/>
        </w:rPr>
      </w:pPr>
    </w:p>
    <w:p w14:paraId="6ADA8385" w14:textId="5BF47A0E" w:rsidR="00EB1A7C" w:rsidRDefault="00EB1A7C" w:rsidP="00EB1A7C">
      <w:pPr>
        <w:spacing w:before="120" w:after="120" w:line="240" w:lineRule="auto"/>
        <w:jc w:val="both"/>
        <w:rPr>
          <w:rFonts w:cstheme="minorHAnsi"/>
        </w:rPr>
      </w:pPr>
    </w:p>
    <w:p w14:paraId="4CFB44ED" w14:textId="5E9009C5" w:rsidR="00EB1A7C" w:rsidRDefault="00EB1A7C" w:rsidP="00EB1A7C">
      <w:pPr>
        <w:spacing w:before="120" w:after="120" w:line="240" w:lineRule="auto"/>
        <w:jc w:val="both"/>
        <w:rPr>
          <w:rFonts w:cstheme="minorHAnsi"/>
        </w:rPr>
      </w:pPr>
    </w:p>
    <w:p w14:paraId="1045BC3B" w14:textId="536E330B" w:rsidR="00EB1A7C" w:rsidRDefault="00EB1A7C" w:rsidP="00EB1A7C">
      <w:pPr>
        <w:pStyle w:val="Heading1"/>
      </w:pPr>
      <w:bookmarkStart w:id="7" w:name="_Toc8811576"/>
      <w:r>
        <w:lastRenderedPageBreak/>
        <w:t>SECTION 1.</w:t>
      </w:r>
      <w:r w:rsidR="00393BBA">
        <w:t>4</w:t>
      </w:r>
      <w:bookmarkEnd w:id="7"/>
    </w:p>
    <w:p w14:paraId="56D3A3F4" w14:textId="62BFAFBF" w:rsidR="00EB1A7C" w:rsidRPr="00F720F4" w:rsidRDefault="00EB1A7C" w:rsidP="00EB1A7C">
      <w:pPr>
        <w:pStyle w:val="Heading3"/>
        <w:rPr>
          <w:rFonts w:cstheme="minorHAnsi"/>
        </w:rPr>
      </w:pPr>
      <w:bookmarkStart w:id="8" w:name="_Toc8811577"/>
      <w:r>
        <w:t>Enterprise Risks Governed by this policy</w:t>
      </w:r>
      <w:bookmarkEnd w:id="8"/>
    </w:p>
    <w:p w14:paraId="7883B9BE" w14:textId="0A72BBC4" w:rsidR="00841E87" w:rsidRPr="00F720F4" w:rsidRDefault="00841E87" w:rsidP="00841E87">
      <w:pPr>
        <w:spacing w:before="120" w:after="120"/>
        <w:jc w:val="both"/>
        <w:rPr>
          <w:rFonts w:cstheme="minorHAnsi"/>
        </w:rPr>
      </w:pPr>
      <w:r w:rsidRPr="00F720F4">
        <w:rPr>
          <w:rFonts w:cstheme="minorHAnsi"/>
        </w:rPr>
        <w:t>The scope of this policy is to address KYMEA</w:t>
      </w:r>
      <w:r>
        <w:rPr>
          <w:rFonts w:cstheme="minorHAnsi"/>
        </w:rPr>
        <w:t>’s Risk Management</w:t>
      </w:r>
      <w:r w:rsidRPr="00F720F4">
        <w:rPr>
          <w:rFonts w:cstheme="minorHAnsi"/>
        </w:rPr>
        <w:t xml:space="preserve"> in three primary categories, Business Operations Risks, Energy Risks, and Financial Risks. The primary risks </w:t>
      </w:r>
      <w:r>
        <w:rPr>
          <w:rFonts w:cstheme="minorHAnsi"/>
        </w:rPr>
        <w:t>are described below.</w:t>
      </w:r>
    </w:p>
    <w:p w14:paraId="7079AC20" w14:textId="77777777" w:rsidR="00841E87" w:rsidRPr="0032063B" w:rsidRDefault="00841E87" w:rsidP="007C17D3">
      <w:pPr>
        <w:pStyle w:val="ListParagraph"/>
        <w:widowControl w:val="0"/>
        <w:numPr>
          <w:ilvl w:val="0"/>
          <w:numId w:val="13"/>
        </w:numPr>
        <w:autoSpaceDE w:val="0"/>
        <w:autoSpaceDN w:val="0"/>
        <w:spacing w:before="120" w:after="120" w:line="240" w:lineRule="auto"/>
        <w:contextualSpacing w:val="0"/>
        <w:jc w:val="both"/>
        <w:rPr>
          <w:rFonts w:cstheme="minorHAnsi"/>
          <w:b/>
        </w:rPr>
      </w:pPr>
      <w:r w:rsidRPr="0032063B">
        <w:rPr>
          <w:rFonts w:cstheme="minorHAnsi"/>
          <w:b/>
        </w:rPr>
        <w:t>Business Operations Risks</w:t>
      </w:r>
    </w:p>
    <w:p w14:paraId="06CD3C71" w14:textId="77777777" w:rsidR="00841E87" w:rsidRPr="0032063B"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32063B">
        <w:rPr>
          <w:rFonts w:cstheme="minorHAnsi"/>
          <w:b/>
          <w:bCs/>
        </w:rPr>
        <w:t>Operational risk</w:t>
      </w:r>
      <w:r w:rsidRPr="0032063B">
        <w:rPr>
          <w:rFonts w:cstheme="minorHAnsi"/>
        </w:rPr>
        <w:t xml:space="preserve"> is the risk of loss from inadequate or failed internal processes, people, and systems.</w:t>
      </w:r>
    </w:p>
    <w:p w14:paraId="0A94756C" w14:textId="055DD62D" w:rsidR="00841E87" w:rsidRPr="0032063B"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F720F4">
        <w:rPr>
          <w:rFonts w:cstheme="minorHAnsi"/>
          <w:b/>
          <w:bCs/>
        </w:rPr>
        <w:t>Contract Counterparty performance risk</w:t>
      </w:r>
      <w:r w:rsidRPr="0032063B">
        <w:rPr>
          <w:rFonts w:cstheme="minorHAnsi"/>
          <w:b/>
          <w:bCs/>
        </w:rPr>
        <w:t xml:space="preserve"> </w:t>
      </w:r>
      <w:r w:rsidRPr="0032063B">
        <w:rPr>
          <w:rFonts w:cstheme="minorHAnsi"/>
          <w:bCs/>
        </w:rPr>
        <w:t xml:space="preserve">is the risk of a counterparty’s </w:t>
      </w:r>
      <w:r w:rsidR="00CA320D">
        <w:rPr>
          <w:rFonts w:cstheme="minorHAnsi"/>
          <w:bCs/>
        </w:rPr>
        <w:t>failure</w:t>
      </w:r>
      <w:r w:rsidRPr="0032063B">
        <w:rPr>
          <w:rFonts w:cstheme="minorHAnsi"/>
          <w:bCs/>
        </w:rPr>
        <w:t xml:space="preserve"> to operationally perform on an agreement</w:t>
      </w:r>
      <w:r w:rsidR="00CA320D">
        <w:rPr>
          <w:rFonts w:cstheme="minorHAnsi"/>
          <w:bCs/>
        </w:rPr>
        <w:t>, particularly</w:t>
      </w:r>
      <w:r w:rsidRPr="0032063B">
        <w:rPr>
          <w:rFonts w:cstheme="minorHAnsi"/>
          <w:bCs/>
        </w:rPr>
        <w:t xml:space="preserve"> </w:t>
      </w:r>
      <w:r w:rsidR="00A94FBE">
        <w:rPr>
          <w:rFonts w:cstheme="minorHAnsi"/>
          <w:bCs/>
        </w:rPr>
        <w:t>where</w:t>
      </w:r>
      <w:r w:rsidRPr="0032063B">
        <w:rPr>
          <w:rFonts w:cstheme="minorHAnsi"/>
          <w:bCs/>
        </w:rPr>
        <w:t xml:space="preserve"> contractual provisions leave KYMEA with </w:t>
      </w:r>
      <w:r w:rsidR="00802557">
        <w:rPr>
          <w:rFonts w:cstheme="minorHAnsi"/>
          <w:bCs/>
        </w:rPr>
        <w:t xml:space="preserve">little or </w:t>
      </w:r>
      <w:r w:rsidRPr="0032063B">
        <w:rPr>
          <w:rFonts w:cstheme="minorHAnsi"/>
          <w:bCs/>
        </w:rPr>
        <w:t xml:space="preserve">no recourse </w:t>
      </w:r>
      <w:r w:rsidR="00802557">
        <w:rPr>
          <w:rFonts w:cstheme="minorHAnsi"/>
          <w:bCs/>
        </w:rPr>
        <w:t>upon</w:t>
      </w:r>
      <w:r w:rsidRPr="0032063B">
        <w:rPr>
          <w:rFonts w:cstheme="minorHAnsi"/>
          <w:bCs/>
        </w:rPr>
        <w:t xml:space="preserve"> an event of default</w:t>
      </w:r>
      <w:r w:rsidR="00802557">
        <w:rPr>
          <w:rFonts w:cstheme="minorHAnsi"/>
          <w:bCs/>
        </w:rPr>
        <w:t xml:space="preserve"> by the counterparty</w:t>
      </w:r>
      <w:r w:rsidRPr="0032063B">
        <w:rPr>
          <w:rFonts w:cstheme="minorHAnsi"/>
          <w:bCs/>
        </w:rPr>
        <w:t>.</w:t>
      </w:r>
    </w:p>
    <w:p w14:paraId="7C6976D0" w14:textId="77777777" w:rsidR="00841E87" w:rsidRPr="00F720F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Pr>
          <w:rFonts w:cstheme="minorHAnsi"/>
          <w:b/>
          <w:bCs/>
        </w:rPr>
        <w:t xml:space="preserve">Facility </w:t>
      </w:r>
      <w:r w:rsidRPr="00F720F4">
        <w:rPr>
          <w:rFonts w:cstheme="minorHAnsi"/>
          <w:b/>
          <w:bCs/>
        </w:rPr>
        <w:t xml:space="preserve">Operations risk </w:t>
      </w:r>
      <w:r w:rsidRPr="0032063B">
        <w:rPr>
          <w:rFonts w:cstheme="minorHAnsi"/>
          <w:bCs/>
        </w:rPr>
        <w:t xml:space="preserve">is the risk associated with </w:t>
      </w:r>
      <w:r>
        <w:rPr>
          <w:rFonts w:cstheme="minorHAnsi"/>
          <w:bCs/>
        </w:rPr>
        <w:t xml:space="preserve">power generation and delivery </w:t>
      </w:r>
      <w:r w:rsidRPr="0032063B">
        <w:rPr>
          <w:rFonts w:cstheme="minorHAnsi"/>
          <w:bCs/>
        </w:rPr>
        <w:t>physical assets. This would include failures or outages associated with generation units</w:t>
      </w:r>
      <w:r w:rsidRPr="0032063B">
        <w:rPr>
          <w:rFonts w:cstheme="minorHAnsi"/>
        </w:rPr>
        <w:t>,</w:t>
      </w:r>
      <w:r w:rsidRPr="00F720F4">
        <w:rPr>
          <w:rFonts w:cstheme="minorHAnsi"/>
        </w:rPr>
        <w:t xml:space="preserve"> fuel delivery systems (weather or mechanical), generation step-up transformers, the transmission system, control systems, or other critical components associated with the production or delivery of electricity.</w:t>
      </w:r>
    </w:p>
    <w:p w14:paraId="75000DCF" w14:textId="77777777" w:rsidR="00841E87" w:rsidRPr="009243A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9243A4">
        <w:rPr>
          <w:rFonts w:cstheme="minorHAnsi"/>
          <w:b/>
          <w:bCs/>
        </w:rPr>
        <w:t xml:space="preserve">Physical and cyber security risk </w:t>
      </w:r>
      <w:r w:rsidRPr="009243A4">
        <w:rPr>
          <w:rFonts w:cstheme="minorHAnsi"/>
          <w:bCs/>
        </w:rPr>
        <w:t>is the risk to physical assets and information systems resulting from physical or cyber-attacks.</w:t>
      </w:r>
    </w:p>
    <w:p w14:paraId="1E1EAEF8" w14:textId="432DFD84" w:rsidR="00841E87" w:rsidRPr="009243A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9243A4">
        <w:rPr>
          <w:rFonts w:cstheme="minorHAnsi"/>
          <w:b/>
          <w:bCs/>
        </w:rPr>
        <w:t xml:space="preserve">Business interruption </w:t>
      </w:r>
      <w:r w:rsidRPr="009243A4">
        <w:rPr>
          <w:rFonts w:cstheme="minorHAnsi"/>
          <w:bCs/>
        </w:rPr>
        <w:t>risk is the risk that a business is interrupted and will not be able to continue operations on</w:t>
      </w:r>
      <w:r w:rsidR="00121AB3">
        <w:rPr>
          <w:rFonts w:cstheme="minorHAnsi"/>
          <w:bCs/>
        </w:rPr>
        <w:t xml:space="preserve"> either</w:t>
      </w:r>
      <w:r w:rsidRPr="009243A4">
        <w:rPr>
          <w:rFonts w:cstheme="minorHAnsi"/>
          <w:bCs/>
        </w:rPr>
        <w:t xml:space="preserve"> a short term or long</w:t>
      </w:r>
      <w:r>
        <w:rPr>
          <w:rFonts w:cstheme="minorHAnsi"/>
          <w:bCs/>
        </w:rPr>
        <w:t>-</w:t>
      </w:r>
      <w:r w:rsidRPr="009243A4">
        <w:rPr>
          <w:rFonts w:cstheme="minorHAnsi"/>
          <w:bCs/>
        </w:rPr>
        <w:t>term basis.</w:t>
      </w:r>
    </w:p>
    <w:p w14:paraId="1A2B21CF" w14:textId="77777777" w:rsidR="00841E87" w:rsidRPr="009243A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9243A4">
        <w:rPr>
          <w:rFonts w:cstheme="minorHAnsi"/>
          <w:b/>
          <w:bCs/>
        </w:rPr>
        <w:t xml:space="preserve">Regulatory compliance risk </w:t>
      </w:r>
      <w:r w:rsidRPr="009243A4">
        <w:rPr>
          <w:rFonts w:cstheme="minorHAnsi"/>
          <w:bCs/>
        </w:rPr>
        <w:t>is the risk associated with failing to comply with local, state and federal regulatory requirements.</w:t>
      </w:r>
    </w:p>
    <w:p w14:paraId="03BCC125" w14:textId="77777777" w:rsidR="00841E87" w:rsidRPr="009243A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9243A4">
        <w:rPr>
          <w:rFonts w:cstheme="minorHAnsi"/>
          <w:b/>
          <w:bCs/>
        </w:rPr>
        <w:t xml:space="preserve">Reliability compliance risk </w:t>
      </w:r>
      <w:r w:rsidRPr="009243A4">
        <w:rPr>
          <w:rFonts w:cstheme="minorHAnsi"/>
          <w:bCs/>
        </w:rPr>
        <w:t>is the risk associated with failing to comply with reliability requirements, specifically NERC reliability standards, including Critical Infrastructure Protection (</w:t>
      </w:r>
      <w:r>
        <w:rPr>
          <w:rFonts w:cstheme="minorHAnsi"/>
          <w:bCs/>
        </w:rPr>
        <w:t>“</w:t>
      </w:r>
      <w:r w:rsidRPr="009243A4">
        <w:rPr>
          <w:rFonts w:cstheme="minorHAnsi"/>
          <w:bCs/>
        </w:rPr>
        <w:t>CIP</w:t>
      </w:r>
      <w:r>
        <w:rPr>
          <w:rFonts w:cstheme="minorHAnsi"/>
          <w:bCs/>
        </w:rPr>
        <w:t>”</w:t>
      </w:r>
      <w:r w:rsidRPr="009243A4">
        <w:rPr>
          <w:rFonts w:cstheme="minorHAnsi"/>
          <w:bCs/>
        </w:rPr>
        <w:t>) Standards. These risks include financial penalties; costs associated with mitigating non-compliance and legal fees associated with enforcement; and reputational losses.</w:t>
      </w:r>
    </w:p>
    <w:p w14:paraId="7B4A4BBB" w14:textId="77777777" w:rsidR="00841E87" w:rsidRPr="00F720F4" w:rsidRDefault="00841E87" w:rsidP="007C17D3">
      <w:pPr>
        <w:pStyle w:val="ListParagraph"/>
        <w:widowControl w:val="0"/>
        <w:numPr>
          <w:ilvl w:val="0"/>
          <w:numId w:val="13"/>
        </w:numPr>
        <w:autoSpaceDE w:val="0"/>
        <w:autoSpaceDN w:val="0"/>
        <w:spacing w:before="120" w:after="120" w:line="240" w:lineRule="auto"/>
        <w:contextualSpacing w:val="0"/>
        <w:jc w:val="both"/>
        <w:rPr>
          <w:rFonts w:cstheme="minorHAnsi"/>
          <w:b/>
        </w:rPr>
      </w:pPr>
      <w:r w:rsidRPr="00F720F4">
        <w:rPr>
          <w:rFonts w:cstheme="minorHAnsi"/>
          <w:b/>
        </w:rPr>
        <w:t>Energy Risks</w:t>
      </w:r>
    </w:p>
    <w:p w14:paraId="6C4833FA" w14:textId="3E52B105" w:rsidR="00841E87" w:rsidRPr="0024187F"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24187F">
        <w:rPr>
          <w:rFonts w:cstheme="minorHAnsi"/>
          <w:b/>
          <w:bCs/>
        </w:rPr>
        <w:t xml:space="preserve">Commodity market price risk </w:t>
      </w:r>
      <w:r w:rsidRPr="0024187F">
        <w:rPr>
          <w:rFonts w:cstheme="minorHAnsi"/>
          <w:bCs/>
        </w:rPr>
        <w:t xml:space="preserve">is the risk of loss due to potential fluctuations in the prices of an underlying energy commodity. In the wholesale power market, KYMEA has risk that commodity prices rise, spike or are generally high when it is </w:t>
      </w:r>
      <w:r w:rsidR="006B6783">
        <w:rPr>
          <w:rFonts w:cstheme="minorHAnsi"/>
          <w:bCs/>
        </w:rPr>
        <w:t xml:space="preserve">dependent </w:t>
      </w:r>
      <w:r w:rsidR="009A723D">
        <w:rPr>
          <w:rFonts w:cstheme="minorHAnsi"/>
          <w:bCs/>
        </w:rPr>
        <w:t>on the market to meet</w:t>
      </w:r>
      <w:r w:rsidRPr="0024187F">
        <w:rPr>
          <w:rFonts w:cstheme="minorHAnsi"/>
          <w:bCs/>
        </w:rPr>
        <w:t xml:space="preserve"> its firm supply obligations. KYMEA has risk that prices fall or are generally low when it is has excess capacity or electric energy compared to its firm supply obligations.</w:t>
      </w:r>
      <w:r>
        <w:rPr>
          <w:rFonts w:cstheme="minorHAnsi"/>
          <w:bCs/>
        </w:rPr>
        <w:t xml:space="preserve"> </w:t>
      </w:r>
      <w:r w:rsidRPr="0024187F">
        <w:rPr>
          <w:rFonts w:cstheme="minorHAnsi"/>
        </w:rPr>
        <w:t xml:space="preserve">Commodity market price risk occurs across all tenors, from the hourly market to the long-term forward market (5 </w:t>
      </w:r>
      <w:r>
        <w:rPr>
          <w:rFonts w:cstheme="minorHAnsi"/>
        </w:rPr>
        <w:t xml:space="preserve">+ </w:t>
      </w:r>
      <w:r w:rsidRPr="0024187F">
        <w:rPr>
          <w:rFonts w:cstheme="minorHAnsi"/>
        </w:rPr>
        <w:t xml:space="preserve">years). KYMEA is exposed to commodity price risk for power, coal, natural gas, fuel oil and various bulk materials (e.g. ammonium, limestone) that exhibit price volatility.  </w:t>
      </w:r>
    </w:p>
    <w:p w14:paraId="28FEDF27" w14:textId="77777777" w:rsidR="00841E87" w:rsidRPr="00EC40F3"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24187F">
        <w:rPr>
          <w:rFonts w:cstheme="minorHAnsi"/>
          <w:b/>
          <w:bCs/>
        </w:rPr>
        <w:lastRenderedPageBreak/>
        <w:t xml:space="preserve">Contract Counterparty performance risk </w:t>
      </w:r>
      <w:r w:rsidRPr="00EC40F3">
        <w:rPr>
          <w:rFonts w:cstheme="minorHAnsi"/>
          <w:bCs/>
        </w:rPr>
        <w:t>is the risk of a potential adverse occurrence of a counterparty’s ability to operationally perform on an agreement or due to contractual provisions that leave KYMEA with no recourse under an event of default.</w:t>
      </w:r>
    </w:p>
    <w:p w14:paraId="54C3B335" w14:textId="6D8B071C" w:rsidR="00841E87" w:rsidRPr="0024187F"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24187F">
        <w:rPr>
          <w:rFonts w:cstheme="minorHAnsi"/>
          <w:b/>
          <w:bCs/>
        </w:rPr>
        <w:t xml:space="preserve">Concentration (lack of </w:t>
      </w:r>
      <w:r w:rsidR="00D3701F">
        <w:rPr>
          <w:rFonts w:cstheme="minorHAnsi"/>
          <w:b/>
          <w:bCs/>
        </w:rPr>
        <w:t>d</w:t>
      </w:r>
      <w:r w:rsidRPr="0024187F">
        <w:rPr>
          <w:rFonts w:cstheme="minorHAnsi"/>
          <w:b/>
          <w:bCs/>
        </w:rPr>
        <w:t xml:space="preserve">iversity) risk </w:t>
      </w:r>
      <w:r w:rsidRPr="0024187F">
        <w:rPr>
          <w:rFonts w:cstheme="minorHAnsi"/>
          <w:bCs/>
        </w:rPr>
        <w:t xml:space="preserve">is the risk of having large exposures to significant power supply components. Concentration risk can be found with suppliers (contract and credit risk), generation units (outage risk), unit technology (environmental) and native load customers. </w:t>
      </w:r>
      <w:r w:rsidR="00AA0CBB">
        <w:rPr>
          <w:rFonts w:cstheme="minorHAnsi"/>
          <w:bCs/>
        </w:rPr>
        <w:t>This includes t</w:t>
      </w:r>
      <w:r w:rsidRPr="0024187F">
        <w:rPr>
          <w:rFonts w:cstheme="minorHAnsi"/>
          <w:bCs/>
        </w:rPr>
        <w:t xml:space="preserve">he risk of reliance of a single fuel commodity, reliance </w:t>
      </w:r>
      <w:r w:rsidR="007F1446">
        <w:rPr>
          <w:rFonts w:cstheme="minorHAnsi"/>
          <w:bCs/>
        </w:rPr>
        <w:t>on</w:t>
      </w:r>
      <w:r w:rsidRPr="0024187F">
        <w:rPr>
          <w:rFonts w:cstheme="minorHAnsi"/>
          <w:bCs/>
        </w:rPr>
        <w:t xml:space="preserve"> a single technology for electric generation, or a geographical concentration of resources that would create delivery exposure due to damage to physical generation and transmission assets due to storm, accident, vandalism, or sabotage.</w:t>
      </w:r>
    </w:p>
    <w:p w14:paraId="72BEE280" w14:textId="024F1393" w:rsidR="00841E87" w:rsidRPr="00A800E1"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F720F4">
        <w:rPr>
          <w:rFonts w:cstheme="minorHAnsi"/>
          <w:b/>
          <w:bCs/>
        </w:rPr>
        <w:t>Delivery risk</w:t>
      </w:r>
      <w:r w:rsidRPr="0024187F">
        <w:rPr>
          <w:rFonts w:cstheme="minorHAnsi"/>
          <w:b/>
          <w:bCs/>
        </w:rPr>
        <w:t xml:space="preserve"> </w:t>
      </w:r>
      <w:r w:rsidRPr="00A800E1">
        <w:rPr>
          <w:rFonts w:cstheme="minorHAnsi"/>
          <w:bCs/>
        </w:rPr>
        <w:t xml:space="preserve">is the risk that KYMEA cannot meet a firm supply obligation due to a transmission constraint. </w:t>
      </w:r>
      <w:r w:rsidR="007F1446">
        <w:rPr>
          <w:rFonts w:cstheme="minorHAnsi"/>
          <w:bCs/>
        </w:rPr>
        <w:t>Ability to deliver is essential</w:t>
      </w:r>
      <w:r w:rsidRPr="00A800E1">
        <w:rPr>
          <w:rFonts w:cstheme="minorHAnsi"/>
          <w:bCs/>
        </w:rPr>
        <w:t xml:space="preserve"> to KYMEA in meeting its firm supply obligations and reliability of service. </w:t>
      </w:r>
    </w:p>
    <w:p w14:paraId="20043812" w14:textId="6E92FA8F" w:rsidR="00841E87" w:rsidRPr="00A800E1"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F720F4">
        <w:rPr>
          <w:rFonts w:cstheme="minorHAnsi"/>
          <w:b/>
          <w:bCs/>
        </w:rPr>
        <w:t>Forced outage and de-rate risk</w:t>
      </w:r>
      <w:r w:rsidRPr="0024187F">
        <w:rPr>
          <w:rFonts w:cstheme="minorHAnsi"/>
          <w:b/>
          <w:bCs/>
        </w:rPr>
        <w:t xml:space="preserve"> </w:t>
      </w:r>
      <w:r w:rsidRPr="00A800E1">
        <w:rPr>
          <w:rFonts w:cstheme="minorHAnsi"/>
          <w:bCs/>
        </w:rPr>
        <w:t xml:space="preserve">is the risk that a generating unit does not perform when it is expected to be available, or when it performs below expected capability. Since this risk </w:t>
      </w:r>
      <w:r w:rsidR="007818AC">
        <w:rPr>
          <w:rFonts w:cstheme="minorHAnsi"/>
          <w:bCs/>
        </w:rPr>
        <w:t>can</w:t>
      </w:r>
      <w:r w:rsidR="007818AC" w:rsidRPr="00A800E1">
        <w:rPr>
          <w:rFonts w:cstheme="minorHAnsi"/>
          <w:bCs/>
        </w:rPr>
        <w:t xml:space="preserve"> </w:t>
      </w:r>
      <w:r w:rsidRPr="00A800E1">
        <w:rPr>
          <w:rFonts w:cstheme="minorHAnsi"/>
          <w:bCs/>
        </w:rPr>
        <w:t xml:space="preserve">result in KYMEA being unintentionally short in the market, it also </w:t>
      </w:r>
      <w:r w:rsidR="001A72DD">
        <w:rPr>
          <w:rFonts w:cstheme="minorHAnsi"/>
          <w:bCs/>
        </w:rPr>
        <w:t>can contribute to</w:t>
      </w:r>
      <w:r w:rsidR="001A72DD" w:rsidRPr="00A800E1">
        <w:rPr>
          <w:rFonts w:cstheme="minorHAnsi"/>
          <w:bCs/>
        </w:rPr>
        <w:t xml:space="preserve"> </w:t>
      </w:r>
      <w:r w:rsidRPr="00A800E1">
        <w:rPr>
          <w:rFonts w:cstheme="minorHAnsi"/>
          <w:bCs/>
        </w:rPr>
        <w:t>market price risk. KYMEA can also be exposed to delivery risk in the transportation of its fuel supply that can result in unit unavailability or de-rate types of risk.</w:t>
      </w:r>
    </w:p>
    <w:p w14:paraId="5CE7CFD9" w14:textId="62CCAC0E" w:rsidR="00841E87" w:rsidRPr="00A800E1"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bCs/>
        </w:rPr>
      </w:pPr>
      <w:r w:rsidRPr="00F720F4">
        <w:rPr>
          <w:rFonts w:cstheme="minorHAnsi"/>
          <w:b/>
          <w:bCs/>
        </w:rPr>
        <w:t>Volumetric risk</w:t>
      </w:r>
      <w:r w:rsidRPr="0024187F">
        <w:rPr>
          <w:rFonts w:cstheme="minorHAnsi"/>
          <w:b/>
          <w:bCs/>
        </w:rPr>
        <w:t xml:space="preserve"> </w:t>
      </w:r>
      <w:r w:rsidRPr="00A800E1">
        <w:rPr>
          <w:rFonts w:cstheme="minorHAnsi"/>
          <w:bCs/>
        </w:rPr>
        <w:t xml:space="preserve">is the risk that energy commodity volumes will vary from expected and result in a potential loss due to </w:t>
      </w:r>
      <w:r w:rsidR="00B03BF5">
        <w:rPr>
          <w:rFonts w:cstheme="minorHAnsi"/>
          <w:bCs/>
        </w:rPr>
        <w:t>unfavorable</w:t>
      </w:r>
      <w:r w:rsidR="00B03BF5" w:rsidRPr="00A800E1">
        <w:rPr>
          <w:rFonts w:cstheme="minorHAnsi"/>
          <w:bCs/>
        </w:rPr>
        <w:t xml:space="preserve"> </w:t>
      </w:r>
      <w:r w:rsidRPr="00A800E1">
        <w:rPr>
          <w:rFonts w:cstheme="minorHAnsi"/>
          <w:bCs/>
        </w:rPr>
        <w:t>commodity market prices. The primary volumetric risks that KYMEA is exposed to are load forecast/ weather variability risk, and loss of load.</w:t>
      </w:r>
    </w:p>
    <w:p w14:paraId="441D9258" w14:textId="7BEE2927" w:rsidR="00841E87" w:rsidRPr="0095322E" w:rsidRDefault="00841E87" w:rsidP="007C17D3">
      <w:pPr>
        <w:pStyle w:val="ListParagraph"/>
        <w:widowControl w:val="0"/>
        <w:numPr>
          <w:ilvl w:val="2"/>
          <w:numId w:val="13"/>
        </w:numPr>
        <w:autoSpaceDE w:val="0"/>
        <w:autoSpaceDN w:val="0"/>
        <w:spacing w:before="120" w:after="120" w:line="240" w:lineRule="auto"/>
        <w:ind w:left="1440"/>
        <w:contextualSpacing w:val="0"/>
        <w:jc w:val="both"/>
        <w:rPr>
          <w:rFonts w:cstheme="minorHAnsi"/>
        </w:rPr>
      </w:pPr>
      <w:r w:rsidRPr="0095322E">
        <w:rPr>
          <w:rFonts w:cstheme="minorHAnsi"/>
          <w:b/>
          <w:bCs/>
        </w:rPr>
        <w:t xml:space="preserve">Load forecast/weather variability risk </w:t>
      </w:r>
      <w:r w:rsidRPr="0095322E">
        <w:rPr>
          <w:rFonts w:cstheme="minorHAnsi"/>
          <w:bCs/>
        </w:rPr>
        <w:t xml:space="preserve">is the risk that actual loads differ from forecasted loads due to </w:t>
      </w:r>
      <w:r w:rsidR="00543FD8">
        <w:rPr>
          <w:rFonts w:cstheme="minorHAnsi"/>
          <w:bCs/>
        </w:rPr>
        <w:t xml:space="preserve">inherent </w:t>
      </w:r>
      <w:r w:rsidR="0037097C">
        <w:rPr>
          <w:rFonts w:cstheme="minorHAnsi"/>
          <w:bCs/>
        </w:rPr>
        <w:t>uncertainty in</w:t>
      </w:r>
      <w:r w:rsidRPr="0095322E">
        <w:rPr>
          <w:rFonts w:cstheme="minorHAnsi"/>
          <w:bCs/>
        </w:rPr>
        <w:t xml:space="preserve"> weather forecasts</w:t>
      </w:r>
      <w:r w:rsidR="00543FD8">
        <w:rPr>
          <w:rFonts w:cstheme="minorHAnsi"/>
          <w:bCs/>
        </w:rPr>
        <w:t xml:space="preserve"> and</w:t>
      </w:r>
      <w:r w:rsidR="00D7621E" w:rsidRPr="0095322E">
        <w:rPr>
          <w:rFonts w:cstheme="minorHAnsi"/>
          <w:bCs/>
        </w:rPr>
        <w:t xml:space="preserve"> </w:t>
      </w:r>
      <w:r w:rsidRPr="0095322E">
        <w:rPr>
          <w:rFonts w:cstheme="minorHAnsi"/>
          <w:bCs/>
        </w:rPr>
        <w:t xml:space="preserve">load forecasts. This risk is natural to KYMEA’s portfolio since it serves load serving entities. Since this risk will result in KYMEA being unintentionally long or short in the spot market, it </w:t>
      </w:r>
      <w:r w:rsidR="00AA582E">
        <w:rPr>
          <w:rFonts w:cstheme="minorHAnsi"/>
          <w:bCs/>
        </w:rPr>
        <w:t>can con</w:t>
      </w:r>
      <w:r w:rsidR="005402D0">
        <w:rPr>
          <w:rFonts w:cstheme="minorHAnsi"/>
          <w:bCs/>
        </w:rPr>
        <w:t>tribute to</w:t>
      </w:r>
      <w:r w:rsidRPr="0095322E">
        <w:rPr>
          <w:rFonts w:cstheme="minorHAnsi"/>
          <w:bCs/>
        </w:rPr>
        <w:t xml:space="preserve"> hourly market price risk. </w:t>
      </w:r>
    </w:p>
    <w:p w14:paraId="3D8423FE" w14:textId="100B8EC3" w:rsidR="00841E87" w:rsidRPr="00A84E73" w:rsidRDefault="00841E87" w:rsidP="007C17D3">
      <w:pPr>
        <w:pStyle w:val="ListParagraph"/>
        <w:widowControl w:val="0"/>
        <w:numPr>
          <w:ilvl w:val="2"/>
          <w:numId w:val="13"/>
        </w:numPr>
        <w:autoSpaceDE w:val="0"/>
        <w:autoSpaceDN w:val="0"/>
        <w:spacing w:before="120" w:after="120" w:line="240" w:lineRule="auto"/>
        <w:ind w:left="1440"/>
        <w:contextualSpacing w:val="0"/>
        <w:jc w:val="both"/>
        <w:rPr>
          <w:rFonts w:cstheme="minorHAnsi"/>
        </w:rPr>
      </w:pPr>
      <w:r w:rsidRPr="0095322E">
        <w:rPr>
          <w:rFonts w:cstheme="minorHAnsi"/>
          <w:b/>
          <w:bCs/>
        </w:rPr>
        <w:t>Loss of load risk</w:t>
      </w:r>
      <w:r w:rsidRPr="0095322E">
        <w:rPr>
          <w:rFonts w:cstheme="minorHAnsi"/>
        </w:rPr>
        <w:t xml:space="preserve"> is the risk that KYMEA loses a significant portion of its load and the market price for electricity </w:t>
      </w:r>
      <w:r w:rsidR="009745AF">
        <w:rPr>
          <w:rFonts w:cstheme="minorHAnsi"/>
        </w:rPr>
        <w:t>concurrently</w:t>
      </w:r>
      <w:r w:rsidR="009745AF" w:rsidRPr="0095322E">
        <w:rPr>
          <w:rFonts w:cstheme="minorHAnsi"/>
        </w:rPr>
        <w:t xml:space="preserve"> </w:t>
      </w:r>
      <w:r w:rsidRPr="0095322E">
        <w:rPr>
          <w:rFonts w:cstheme="minorHAnsi"/>
        </w:rPr>
        <w:t xml:space="preserve">falls below the sales price </w:t>
      </w:r>
      <w:r w:rsidR="006E45D7">
        <w:rPr>
          <w:rFonts w:cstheme="minorHAnsi"/>
        </w:rPr>
        <w:t>for</w:t>
      </w:r>
      <w:r w:rsidR="006E45D7" w:rsidRPr="0095322E">
        <w:rPr>
          <w:rFonts w:cstheme="minorHAnsi"/>
        </w:rPr>
        <w:t xml:space="preserve"> </w:t>
      </w:r>
      <w:r w:rsidRPr="0095322E">
        <w:rPr>
          <w:rFonts w:cstheme="minorHAnsi"/>
        </w:rPr>
        <w:t>the lost load</w:t>
      </w:r>
      <w:r w:rsidR="006E45D7">
        <w:rPr>
          <w:rFonts w:cstheme="minorHAnsi"/>
        </w:rPr>
        <w:t>,</w:t>
      </w:r>
      <w:r w:rsidRPr="0095322E">
        <w:rPr>
          <w:rFonts w:cstheme="minorHAnsi"/>
        </w:rPr>
        <w:t xml:space="preserve"> thereby creat</w:t>
      </w:r>
      <w:r w:rsidR="00DB26D8">
        <w:rPr>
          <w:rFonts w:cstheme="minorHAnsi"/>
        </w:rPr>
        <w:t>ing</w:t>
      </w:r>
      <w:r w:rsidRPr="0095322E">
        <w:rPr>
          <w:rFonts w:cstheme="minorHAnsi"/>
        </w:rPr>
        <w:t xml:space="preserve"> a financial strain on the agency. However, if market prices for electricity </w:t>
      </w:r>
      <w:r w:rsidR="00DB26D8">
        <w:rPr>
          <w:rFonts w:cstheme="minorHAnsi"/>
        </w:rPr>
        <w:t>are higher than</w:t>
      </w:r>
      <w:r w:rsidRPr="0095322E">
        <w:rPr>
          <w:rFonts w:cstheme="minorHAnsi"/>
        </w:rPr>
        <w:t xml:space="preserve"> the sales price </w:t>
      </w:r>
      <w:r w:rsidR="001C4ED7">
        <w:rPr>
          <w:rFonts w:cstheme="minorHAnsi"/>
        </w:rPr>
        <w:t>for the</w:t>
      </w:r>
      <w:r w:rsidRPr="0095322E">
        <w:rPr>
          <w:rFonts w:cstheme="minorHAnsi"/>
        </w:rPr>
        <w:t xml:space="preserve"> lost load</w:t>
      </w:r>
      <w:r w:rsidR="001C4ED7">
        <w:rPr>
          <w:rFonts w:cstheme="minorHAnsi"/>
        </w:rPr>
        <w:t>,</w:t>
      </w:r>
      <w:r w:rsidRPr="0095322E">
        <w:rPr>
          <w:rFonts w:cstheme="minorHAnsi"/>
        </w:rPr>
        <w:t xml:space="preserve"> it would create a financial benefit to the agency. </w:t>
      </w:r>
      <w:r w:rsidRPr="00A84E73">
        <w:rPr>
          <w:rFonts w:cstheme="minorHAnsi"/>
        </w:rPr>
        <w:t xml:space="preserve"> </w:t>
      </w:r>
    </w:p>
    <w:p w14:paraId="1165A1F1" w14:textId="00AE55BE" w:rsidR="00841E87"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7C6A38">
        <w:rPr>
          <w:rFonts w:cstheme="minorHAnsi"/>
          <w:b/>
        </w:rPr>
        <w:t>Environmental Emission Allowances risk</w:t>
      </w:r>
      <w:r>
        <w:rPr>
          <w:rFonts w:cstheme="minorHAnsi"/>
        </w:rPr>
        <w:t xml:space="preserve"> is the risk that KYMEA will not have </w:t>
      </w:r>
      <w:proofErr w:type="gramStart"/>
      <w:r>
        <w:rPr>
          <w:rFonts w:cstheme="minorHAnsi"/>
        </w:rPr>
        <w:t>sufficient</w:t>
      </w:r>
      <w:proofErr w:type="gramEnd"/>
      <w:r>
        <w:rPr>
          <w:rFonts w:cstheme="minorHAnsi"/>
        </w:rPr>
        <w:t xml:space="preserve"> environmental emissions allowances to assure compliance with the </w:t>
      </w:r>
      <w:r w:rsidRPr="00CE6DEE">
        <w:rPr>
          <w:rFonts w:cstheme="minorHAnsi"/>
        </w:rPr>
        <w:t>United States Environmental Protection Agency emission limits</w:t>
      </w:r>
      <w:r w:rsidR="002547AF">
        <w:rPr>
          <w:rFonts w:cstheme="minorHAnsi"/>
        </w:rPr>
        <w:t xml:space="preserve"> at a reasonable cost</w:t>
      </w:r>
      <w:r>
        <w:rPr>
          <w:rFonts w:cstheme="minorHAnsi"/>
        </w:rPr>
        <w:t xml:space="preserve">. </w:t>
      </w:r>
    </w:p>
    <w:p w14:paraId="030245CA" w14:textId="3B1C1A8A" w:rsidR="00841E87" w:rsidRPr="0095322E"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D87F45">
        <w:rPr>
          <w:rFonts w:cstheme="minorHAnsi"/>
          <w:b/>
        </w:rPr>
        <w:t>Renewable Energy Attributes risk</w:t>
      </w:r>
      <w:r>
        <w:rPr>
          <w:rFonts w:cstheme="minorHAnsi"/>
        </w:rPr>
        <w:t xml:space="preserve"> is the risk that, if</w:t>
      </w:r>
      <w:r w:rsidRPr="00EC47E2">
        <w:rPr>
          <w:rFonts w:cstheme="minorHAnsi"/>
        </w:rPr>
        <w:t xml:space="preserve"> a mandated renewable energy standard is implemented, KYMEA </w:t>
      </w:r>
      <w:r>
        <w:rPr>
          <w:rFonts w:cstheme="minorHAnsi"/>
        </w:rPr>
        <w:t>may not have</w:t>
      </w:r>
      <w:r w:rsidRPr="00EC47E2">
        <w:rPr>
          <w:rFonts w:cstheme="minorHAnsi"/>
        </w:rPr>
        <w:t xml:space="preserve"> </w:t>
      </w:r>
      <w:proofErr w:type="gramStart"/>
      <w:r w:rsidRPr="00EC47E2">
        <w:rPr>
          <w:rFonts w:cstheme="minorHAnsi"/>
        </w:rPr>
        <w:t>sufficient</w:t>
      </w:r>
      <w:proofErr w:type="gramEnd"/>
      <w:r w:rsidRPr="00EC47E2">
        <w:rPr>
          <w:rFonts w:cstheme="minorHAnsi"/>
        </w:rPr>
        <w:t xml:space="preserve"> quantit</w:t>
      </w:r>
      <w:r>
        <w:rPr>
          <w:rFonts w:cstheme="minorHAnsi"/>
        </w:rPr>
        <w:t>ies</w:t>
      </w:r>
      <w:r w:rsidRPr="00EC47E2">
        <w:rPr>
          <w:rFonts w:cstheme="minorHAnsi"/>
        </w:rPr>
        <w:t xml:space="preserve"> of Attributes necessary to comply with the standard</w:t>
      </w:r>
      <w:r>
        <w:rPr>
          <w:rFonts w:cstheme="minorHAnsi"/>
        </w:rPr>
        <w:t xml:space="preserve">.  In the absence of a mandatory standard, this </w:t>
      </w:r>
      <w:r>
        <w:rPr>
          <w:rFonts w:cstheme="minorHAnsi"/>
        </w:rPr>
        <w:lastRenderedPageBreak/>
        <w:t>risk is primarily the failure to capture</w:t>
      </w:r>
      <w:r w:rsidRPr="00A84E73">
        <w:rPr>
          <w:rFonts w:cstheme="minorHAnsi"/>
        </w:rPr>
        <w:t xml:space="preserve"> </w:t>
      </w:r>
      <w:r w:rsidRPr="00EC47E2">
        <w:rPr>
          <w:rFonts w:cstheme="minorHAnsi"/>
        </w:rPr>
        <w:t>t</w:t>
      </w:r>
      <w:r>
        <w:rPr>
          <w:rFonts w:cstheme="minorHAnsi"/>
        </w:rPr>
        <w:t xml:space="preserve">he </w:t>
      </w:r>
      <w:r w:rsidRPr="00EC47E2">
        <w:rPr>
          <w:rFonts w:cstheme="minorHAnsi"/>
        </w:rPr>
        <w:t>financial benefit to KYMEA</w:t>
      </w:r>
      <w:r>
        <w:rPr>
          <w:rFonts w:cstheme="minorHAnsi"/>
        </w:rPr>
        <w:t xml:space="preserve"> from selling and trading renewable energy attributes that have been allocated to </w:t>
      </w:r>
      <w:r w:rsidR="00597463">
        <w:rPr>
          <w:rFonts w:cstheme="minorHAnsi"/>
        </w:rPr>
        <w:t>KYMEA</w:t>
      </w:r>
      <w:r>
        <w:rPr>
          <w:rFonts w:cstheme="minorHAnsi"/>
        </w:rPr>
        <w:t>.</w:t>
      </w:r>
    </w:p>
    <w:p w14:paraId="093C0272" w14:textId="77777777" w:rsidR="00841E87" w:rsidRPr="000E0A98" w:rsidRDefault="00841E87" w:rsidP="007C17D3">
      <w:pPr>
        <w:pStyle w:val="ListParagraph"/>
        <w:widowControl w:val="0"/>
        <w:numPr>
          <w:ilvl w:val="0"/>
          <w:numId w:val="13"/>
        </w:numPr>
        <w:autoSpaceDE w:val="0"/>
        <w:autoSpaceDN w:val="0"/>
        <w:spacing w:before="120" w:after="120" w:line="240" w:lineRule="auto"/>
        <w:contextualSpacing w:val="0"/>
        <w:jc w:val="both"/>
        <w:rPr>
          <w:rFonts w:cstheme="minorHAnsi"/>
          <w:b/>
        </w:rPr>
      </w:pPr>
      <w:r w:rsidRPr="000E0A98">
        <w:rPr>
          <w:rFonts w:cstheme="minorHAnsi"/>
          <w:b/>
        </w:rPr>
        <w:t>Financial Risks</w:t>
      </w:r>
    </w:p>
    <w:p w14:paraId="5E367B66" w14:textId="26707C2C" w:rsidR="00841E87" w:rsidRPr="0096572F" w:rsidRDefault="00841E87" w:rsidP="007C17D3">
      <w:pPr>
        <w:pStyle w:val="ListParagraph"/>
        <w:widowControl w:val="0"/>
        <w:numPr>
          <w:ilvl w:val="1"/>
          <w:numId w:val="14"/>
        </w:numPr>
        <w:autoSpaceDE w:val="0"/>
        <w:autoSpaceDN w:val="0"/>
        <w:spacing w:before="120" w:after="120" w:line="240" w:lineRule="auto"/>
        <w:contextualSpacing w:val="0"/>
        <w:jc w:val="both"/>
        <w:rPr>
          <w:rFonts w:cstheme="minorHAnsi"/>
          <w:bCs/>
        </w:rPr>
      </w:pPr>
      <w:r w:rsidRPr="00F720F4">
        <w:rPr>
          <w:rFonts w:cstheme="minorHAnsi"/>
          <w:b/>
          <w:bCs/>
        </w:rPr>
        <w:t xml:space="preserve">Financial risk </w:t>
      </w:r>
      <w:r w:rsidRPr="0096572F">
        <w:rPr>
          <w:rFonts w:cstheme="minorHAnsi"/>
          <w:bCs/>
        </w:rPr>
        <w:t xml:space="preserve">is the risk that the agency’s scarce resources are not </w:t>
      </w:r>
      <w:r w:rsidR="004F580E">
        <w:rPr>
          <w:rFonts w:cstheme="minorHAnsi"/>
          <w:bCs/>
        </w:rPr>
        <w:t>optimally</w:t>
      </w:r>
      <w:r w:rsidR="004F580E" w:rsidRPr="0096572F">
        <w:rPr>
          <w:rFonts w:cstheme="minorHAnsi"/>
          <w:bCs/>
        </w:rPr>
        <w:t xml:space="preserve"> </w:t>
      </w:r>
      <w:r w:rsidRPr="0096572F">
        <w:rPr>
          <w:rFonts w:cstheme="minorHAnsi"/>
          <w:bCs/>
        </w:rPr>
        <w:t>employed, resulting in adverse financial consequences. Quantification of risks in terms of their impact on financial measures will be considered in risk analysis and mitigation. Risk quantification and mitigation pursuant to appropriate risk tolerance shall have significant focus.</w:t>
      </w:r>
    </w:p>
    <w:p w14:paraId="6B28DA6D" w14:textId="77777777" w:rsidR="00841E87" w:rsidRDefault="00841E87" w:rsidP="007C17D3">
      <w:pPr>
        <w:pStyle w:val="ListParagraph"/>
        <w:widowControl w:val="0"/>
        <w:numPr>
          <w:ilvl w:val="1"/>
          <w:numId w:val="14"/>
        </w:numPr>
        <w:autoSpaceDE w:val="0"/>
        <w:autoSpaceDN w:val="0"/>
        <w:spacing w:before="120" w:after="120" w:line="240" w:lineRule="auto"/>
        <w:contextualSpacing w:val="0"/>
        <w:jc w:val="both"/>
        <w:rPr>
          <w:rFonts w:cstheme="minorHAnsi"/>
          <w:bCs/>
        </w:rPr>
      </w:pPr>
      <w:r w:rsidRPr="00C3437E">
        <w:rPr>
          <w:rFonts w:cstheme="minorHAnsi"/>
          <w:b/>
          <w:bCs/>
        </w:rPr>
        <w:t xml:space="preserve">Cash margin risk </w:t>
      </w:r>
      <w:r w:rsidRPr="00C3437E">
        <w:rPr>
          <w:rFonts w:cstheme="minorHAnsi"/>
          <w:bCs/>
        </w:rPr>
        <w:t>is the risk associated with inadequate cash flow resulting from margin requirements of a contractual agreement. For example, the EEI Master Agreement provides that counterparties may margin each other when they are overexposed above credit thresholds that were negotiated between the parties when the agreement was executed. Credit exposures include replacement cost exposure on a mark-to-market basis when a counterparty’s position is out-of-the money.</w:t>
      </w:r>
      <w:r>
        <w:rPr>
          <w:rFonts w:cstheme="minorHAnsi"/>
          <w:bCs/>
        </w:rPr>
        <w:t xml:space="preserve">  </w:t>
      </w:r>
    </w:p>
    <w:p w14:paraId="1950651C" w14:textId="1141C071" w:rsidR="00841E87" w:rsidRPr="00B041BB" w:rsidRDefault="00841E87" w:rsidP="007C17D3">
      <w:pPr>
        <w:pStyle w:val="ListParagraph"/>
        <w:widowControl w:val="0"/>
        <w:numPr>
          <w:ilvl w:val="1"/>
          <w:numId w:val="14"/>
        </w:numPr>
        <w:autoSpaceDE w:val="0"/>
        <w:autoSpaceDN w:val="0"/>
        <w:spacing w:before="120" w:after="120" w:line="240" w:lineRule="auto"/>
        <w:contextualSpacing w:val="0"/>
        <w:jc w:val="both"/>
        <w:rPr>
          <w:rFonts w:cstheme="minorHAnsi"/>
          <w:bCs/>
        </w:rPr>
      </w:pPr>
      <w:r w:rsidRPr="00F720F4">
        <w:rPr>
          <w:rFonts w:cstheme="minorHAnsi"/>
          <w:b/>
          <w:bCs/>
        </w:rPr>
        <w:t>Credit risk</w:t>
      </w:r>
      <w:r w:rsidRPr="00B041BB">
        <w:rPr>
          <w:rFonts w:cstheme="minorHAnsi"/>
          <w:b/>
          <w:bCs/>
        </w:rPr>
        <w:t xml:space="preserve"> </w:t>
      </w:r>
      <w:r w:rsidRPr="00B041BB">
        <w:rPr>
          <w:rFonts w:cstheme="minorHAnsi"/>
          <w:bCs/>
        </w:rPr>
        <w:t xml:space="preserve">is the risk of a counterparty’s </w:t>
      </w:r>
      <w:r w:rsidR="000C55C1">
        <w:rPr>
          <w:rFonts w:cstheme="minorHAnsi"/>
          <w:bCs/>
        </w:rPr>
        <w:t>in</w:t>
      </w:r>
      <w:r w:rsidRPr="00B041BB">
        <w:rPr>
          <w:rFonts w:cstheme="minorHAnsi"/>
          <w:bCs/>
        </w:rPr>
        <w:t xml:space="preserve">ability to pay its obligations (debts) to KYMEA or </w:t>
      </w:r>
      <w:r w:rsidR="000C55C1">
        <w:rPr>
          <w:rFonts w:cstheme="minorHAnsi"/>
          <w:bCs/>
        </w:rPr>
        <w:t xml:space="preserve">of </w:t>
      </w:r>
      <w:r w:rsidRPr="00B041BB">
        <w:rPr>
          <w:rFonts w:cstheme="minorHAnsi"/>
          <w:bCs/>
        </w:rPr>
        <w:t>a supplier</w:t>
      </w:r>
      <w:r w:rsidR="000C55C1">
        <w:rPr>
          <w:rFonts w:cstheme="minorHAnsi"/>
          <w:bCs/>
        </w:rPr>
        <w:t xml:space="preserve"> that</w:t>
      </w:r>
      <w:r w:rsidRPr="00B041BB">
        <w:rPr>
          <w:rFonts w:cstheme="minorHAnsi"/>
          <w:bCs/>
        </w:rPr>
        <w:t xml:space="preserve"> declares bankruptcy and abrogates a supply contract that must be replaced during a time of higher commodity market prices.</w:t>
      </w:r>
    </w:p>
    <w:p w14:paraId="6F33B139" w14:textId="77777777" w:rsidR="007367BA" w:rsidRDefault="007367BA" w:rsidP="00841E87">
      <w:pPr>
        <w:rPr>
          <w:rFonts w:cstheme="minorHAnsi"/>
          <w:b/>
          <w:bCs/>
          <w:color w:val="000000" w:themeColor="text1"/>
        </w:rPr>
      </w:pPr>
    </w:p>
    <w:p w14:paraId="2C51BC5D" w14:textId="77777777" w:rsidR="007367BA" w:rsidRDefault="007367BA" w:rsidP="00841E87">
      <w:pPr>
        <w:rPr>
          <w:rFonts w:cstheme="minorHAnsi"/>
          <w:b/>
          <w:bCs/>
          <w:color w:val="000000" w:themeColor="text1"/>
        </w:rPr>
      </w:pPr>
    </w:p>
    <w:p w14:paraId="50F4433E" w14:textId="77777777" w:rsidR="007367BA" w:rsidRDefault="007367BA" w:rsidP="00841E87">
      <w:pPr>
        <w:rPr>
          <w:rFonts w:cstheme="minorHAnsi"/>
          <w:b/>
          <w:bCs/>
          <w:color w:val="000000" w:themeColor="text1"/>
        </w:rPr>
      </w:pPr>
    </w:p>
    <w:p w14:paraId="1EF6C25D" w14:textId="77777777" w:rsidR="007367BA" w:rsidRDefault="007367BA" w:rsidP="00841E87">
      <w:pPr>
        <w:rPr>
          <w:rFonts w:cstheme="minorHAnsi"/>
          <w:b/>
          <w:bCs/>
          <w:color w:val="000000" w:themeColor="text1"/>
        </w:rPr>
      </w:pPr>
    </w:p>
    <w:p w14:paraId="24897285" w14:textId="77777777" w:rsidR="007367BA" w:rsidRDefault="007367BA" w:rsidP="00841E87">
      <w:pPr>
        <w:rPr>
          <w:rFonts w:cstheme="minorHAnsi"/>
          <w:b/>
          <w:bCs/>
          <w:color w:val="000000" w:themeColor="text1"/>
        </w:rPr>
      </w:pPr>
    </w:p>
    <w:p w14:paraId="089DD2C7" w14:textId="77777777" w:rsidR="007367BA" w:rsidRDefault="007367BA" w:rsidP="00841E87">
      <w:pPr>
        <w:rPr>
          <w:rFonts w:cstheme="minorHAnsi"/>
          <w:b/>
          <w:bCs/>
          <w:color w:val="000000" w:themeColor="text1"/>
        </w:rPr>
      </w:pPr>
    </w:p>
    <w:p w14:paraId="4198EFDB" w14:textId="77777777" w:rsidR="007367BA" w:rsidRDefault="007367BA" w:rsidP="00841E87">
      <w:pPr>
        <w:rPr>
          <w:rFonts w:cstheme="minorHAnsi"/>
          <w:b/>
          <w:bCs/>
          <w:color w:val="000000" w:themeColor="text1"/>
        </w:rPr>
      </w:pPr>
    </w:p>
    <w:p w14:paraId="7D091BCF" w14:textId="77777777" w:rsidR="007367BA" w:rsidRDefault="007367BA" w:rsidP="00841E87">
      <w:pPr>
        <w:rPr>
          <w:rFonts w:cstheme="minorHAnsi"/>
          <w:b/>
          <w:bCs/>
          <w:color w:val="000000" w:themeColor="text1"/>
        </w:rPr>
      </w:pPr>
    </w:p>
    <w:p w14:paraId="0C634B60" w14:textId="77777777" w:rsidR="007367BA" w:rsidRDefault="007367BA" w:rsidP="00841E87">
      <w:pPr>
        <w:rPr>
          <w:rFonts w:cstheme="minorHAnsi"/>
          <w:b/>
          <w:bCs/>
          <w:color w:val="000000" w:themeColor="text1"/>
        </w:rPr>
      </w:pPr>
    </w:p>
    <w:p w14:paraId="786A39C4" w14:textId="77777777" w:rsidR="007367BA" w:rsidRDefault="007367BA" w:rsidP="00841E87">
      <w:pPr>
        <w:rPr>
          <w:rFonts w:cstheme="minorHAnsi"/>
          <w:b/>
          <w:bCs/>
          <w:color w:val="000000" w:themeColor="text1"/>
        </w:rPr>
      </w:pPr>
    </w:p>
    <w:p w14:paraId="425E8838" w14:textId="582B6422" w:rsidR="007367BA" w:rsidRDefault="007367BA" w:rsidP="00841E87">
      <w:pPr>
        <w:rPr>
          <w:rFonts w:cstheme="minorHAnsi"/>
          <w:b/>
          <w:bCs/>
          <w:color w:val="000000" w:themeColor="text1"/>
        </w:rPr>
      </w:pPr>
    </w:p>
    <w:p w14:paraId="13AD4299" w14:textId="77777777" w:rsidR="00827BD0" w:rsidRDefault="00827BD0" w:rsidP="00841E87">
      <w:pPr>
        <w:rPr>
          <w:rFonts w:cstheme="minorHAnsi"/>
          <w:b/>
          <w:bCs/>
          <w:color w:val="000000" w:themeColor="text1"/>
        </w:rPr>
      </w:pPr>
    </w:p>
    <w:p w14:paraId="795DB6B3" w14:textId="77777777" w:rsidR="007367BA" w:rsidRDefault="007367BA" w:rsidP="00841E87">
      <w:pPr>
        <w:rPr>
          <w:rFonts w:cstheme="minorHAnsi"/>
          <w:b/>
          <w:bCs/>
          <w:color w:val="000000" w:themeColor="text1"/>
        </w:rPr>
      </w:pPr>
    </w:p>
    <w:p w14:paraId="7920CAC6" w14:textId="00611274" w:rsidR="007367BA" w:rsidRDefault="007367BA" w:rsidP="007367BA">
      <w:pPr>
        <w:pStyle w:val="Heading1"/>
      </w:pPr>
      <w:bookmarkStart w:id="9" w:name="_Toc8811578"/>
      <w:r>
        <w:lastRenderedPageBreak/>
        <w:t>SECTION 1.</w:t>
      </w:r>
      <w:r w:rsidR="00393BBA">
        <w:t>5</w:t>
      </w:r>
      <w:bookmarkEnd w:id="9"/>
    </w:p>
    <w:p w14:paraId="7A100357" w14:textId="64385882" w:rsidR="007367BA" w:rsidRDefault="007367BA" w:rsidP="007367BA">
      <w:pPr>
        <w:pStyle w:val="Heading3"/>
      </w:pPr>
      <w:bookmarkStart w:id="10" w:name="_Toc8811579"/>
      <w:r>
        <w:t xml:space="preserve">Risk </w:t>
      </w:r>
      <w:r w:rsidR="00843106">
        <w:t xml:space="preserve">management </w:t>
      </w:r>
      <w:r>
        <w:t>Governance structure</w:t>
      </w:r>
      <w:bookmarkEnd w:id="10"/>
    </w:p>
    <w:p w14:paraId="51C9FCB9" w14:textId="77777777" w:rsidR="00841E87" w:rsidRDefault="00841E87" w:rsidP="00841E87">
      <w:pPr>
        <w:spacing w:before="120" w:after="120"/>
        <w:jc w:val="both"/>
        <w:rPr>
          <w:rFonts w:cstheme="minorHAnsi"/>
        </w:rPr>
      </w:pPr>
      <w:r>
        <w:rPr>
          <w:rFonts w:cstheme="minorHAnsi"/>
        </w:rPr>
        <w:t xml:space="preserve">Governance of KYMEA’s </w:t>
      </w:r>
      <w:r w:rsidRPr="00F720F4">
        <w:rPr>
          <w:rFonts w:cstheme="minorHAnsi"/>
        </w:rPr>
        <w:t>Risk</w:t>
      </w:r>
      <w:r>
        <w:rPr>
          <w:rFonts w:cstheme="minorHAnsi"/>
        </w:rPr>
        <w:t xml:space="preserve"> Management</w:t>
      </w:r>
      <w:r w:rsidRPr="00F720F4">
        <w:rPr>
          <w:rFonts w:cstheme="minorHAnsi"/>
        </w:rPr>
        <w:t xml:space="preserve"> </w:t>
      </w:r>
      <w:r>
        <w:rPr>
          <w:rFonts w:cstheme="minorHAnsi"/>
        </w:rPr>
        <w:t>(“Risk Management Governance”)</w:t>
      </w:r>
      <w:r w:rsidRPr="00F720F4">
        <w:rPr>
          <w:rFonts w:cstheme="minorHAnsi"/>
        </w:rPr>
        <w:t xml:space="preserve"> will follow a top-down approach whereby the Board of Directors (“Board”) identifies KYMEA’s </w:t>
      </w:r>
      <w:r>
        <w:rPr>
          <w:rFonts w:cstheme="minorHAnsi"/>
        </w:rPr>
        <w:t>R</w:t>
      </w:r>
      <w:r w:rsidRPr="00F720F4">
        <w:rPr>
          <w:rFonts w:cstheme="minorHAnsi"/>
        </w:rPr>
        <w:t xml:space="preserve">isk </w:t>
      </w:r>
      <w:r>
        <w:rPr>
          <w:rFonts w:cstheme="minorHAnsi"/>
        </w:rPr>
        <w:t>M</w:t>
      </w:r>
      <w:r w:rsidRPr="00F720F4">
        <w:rPr>
          <w:rFonts w:cstheme="minorHAnsi"/>
        </w:rPr>
        <w:t xml:space="preserve">anagement objectives and provides </w:t>
      </w:r>
      <w:r>
        <w:rPr>
          <w:rFonts w:cstheme="minorHAnsi"/>
        </w:rPr>
        <w:t>R</w:t>
      </w:r>
      <w:r w:rsidRPr="00F720F4">
        <w:rPr>
          <w:rFonts w:cstheme="minorHAnsi"/>
        </w:rPr>
        <w:t xml:space="preserve">isk </w:t>
      </w:r>
      <w:r>
        <w:rPr>
          <w:rFonts w:cstheme="minorHAnsi"/>
        </w:rPr>
        <w:t>M</w:t>
      </w:r>
      <w:r w:rsidRPr="00F720F4">
        <w:rPr>
          <w:rFonts w:cstheme="minorHAnsi"/>
        </w:rPr>
        <w:t>anagement oversight.</w:t>
      </w:r>
      <w:r>
        <w:rPr>
          <w:rFonts w:cstheme="minorHAnsi"/>
        </w:rPr>
        <w:t xml:space="preserve"> </w:t>
      </w:r>
      <w:r w:rsidRPr="00F720F4">
        <w:rPr>
          <w:rFonts w:cstheme="minorHAnsi"/>
        </w:rPr>
        <w:t xml:space="preserve">Supporting controls, policies and procedures will be implemented and aligned throughout the </w:t>
      </w:r>
      <w:r>
        <w:rPr>
          <w:rFonts w:cstheme="minorHAnsi"/>
        </w:rPr>
        <w:t>Risk Management Governance</w:t>
      </w:r>
      <w:r w:rsidRPr="00F720F4">
        <w:rPr>
          <w:rFonts w:cstheme="minorHAnsi"/>
        </w:rPr>
        <w:t xml:space="preserve"> structure, with distinct roles and responsibilities that result in a risk control environment.</w:t>
      </w:r>
      <w:r>
        <w:rPr>
          <w:rFonts w:cstheme="minorHAnsi"/>
        </w:rPr>
        <w:t xml:space="preserve"> </w:t>
      </w:r>
      <w:r w:rsidRPr="00F720F4">
        <w:rPr>
          <w:rFonts w:cstheme="minorHAnsi"/>
        </w:rPr>
        <w:t>Governance and controls include the organizational structure, policies, reporting process and procedures that support KYMEA’s business model, risk tolerance, power supply objectives, financial objectives, and reliability objectives and segregate responsibilities appropriately.</w:t>
      </w:r>
    </w:p>
    <w:p w14:paraId="4CF12437" w14:textId="37F3A889" w:rsidR="00841E87" w:rsidRPr="00375CC8" w:rsidRDefault="00841E87" w:rsidP="00841E87">
      <w:pPr>
        <w:spacing w:before="120" w:after="120"/>
        <w:jc w:val="both"/>
        <w:rPr>
          <w:rFonts w:cstheme="minorHAnsi"/>
        </w:rPr>
      </w:pPr>
      <w:r>
        <w:rPr>
          <w:rFonts w:cstheme="minorHAnsi"/>
        </w:rPr>
        <w:t xml:space="preserve">The roles of the Board, </w:t>
      </w:r>
      <w:r w:rsidRPr="00375CC8">
        <w:rPr>
          <w:rFonts w:cstheme="minorHAnsi"/>
        </w:rPr>
        <w:t xml:space="preserve">Board Risk Oversight Committee (the “BROC”), and </w:t>
      </w:r>
      <w:r w:rsidRPr="00F720F4">
        <w:rPr>
          <w:rFonts w:cstheme="minorHAnsi"/>
        </w:rPr>
        <w:t>Internal Risk Committee (the</w:t>
      </w:r>
      <w:r w:rsidR="00FB4DD5">
        <w:rPr>
          <w:rFonts w:cstheme="minorHAnsi"/>
        </w:rPr>
        <w:t xml:space="preserve"> </w:t>
      </w:r>
      <w:r w:rsidRPr="00F720F4">
        <w:rPr>
          <w:rFonts w:cstheme="minorHAnsi"/>
        </w:rPr>
        <w:t>”IRC”)</w:t>
      </w:r>
      <w:r>
        <w:rPr>
          <w:rFonts w:cstheme="minorHAnsi"/>
        </w:rPr>
        <w:t xml:space="preserve"> are outlined as follows.</w:t>
      </w:r>
    </w:p>
    <w:p w14:paraId="5A07381B" w14:textId="77777777" w:rsidR="00841E87" w:rsidRPr="0024056B" w:rsidRDefault="00841E87" w:rsidP="007C17D3">
      <w:pPr>
        <w:pStyle w:val="ListParagraph"/>
        <w:widowControl w:val="0"/>
        <w:numPr>
          <w:ilvl w:val="0"/>
          <w:numId w:val="15"/>
        </w:numPr>
        <w:autoSpaceDE w:val="0"/>
        <w:autoSpaceDN w:val="0"/>
        <w:spacing w:before="120" w:after="120" w:line="240" w:lineRule="auto"/>
        <w:contextualSpacing w:val="0"/>
        <w:jc w:val="both"/>
        <w:rPr>
          <w:rFonts w:cstheme="minorHAnsi"/>
          <w:b/>
        </w:rPr>
      </w:pPr>
      <w:r w:rsidRPr="0024056B">
        <w:rPr>
          <w:rFonts w:cstheme="minorHAnsi"/>
          <w:b/>
        </w:rPr>
        <w:t xml:space="preserve">KYMEA Board </w:t>
      </w:r>
    </w:p>
    <w:p w14:paraId="620053C0" w14:textId="77777777" w:rsidR="00841E87" w:rsidRPr="00F720F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F720F4">
        <w:rPr>
          <w:rFonts w:cstheme="minorHAnsi"/>
        </w:rPr>
        <w:t>Establish and communicate the Board’s acceptable levels of risk tolerance.</w:t>
      </w:r>
    </w:p>
    <w:p w14:paraId="4199D4D3" w14:textId="0A0562CA" w:rsidR="00841E87" w:rsidRPr="00F720F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F720F4">
        <w:rPr>
          <w:rFonts w:cstheme="minorHAnsi"/>
        </w:rPr>
        <w:t xml:space="preserve">Approves KYMEA’s Risk Management </w:t>
      </w:r>
      <w:r w:rsidR="00843106">
        <w:rPr>
          <w:rFonts w:cstheme="minorHAnsi"/>
        </w:rPr>
        <w:t>Policies:</w:t>
      </w:r>
    </w:p>
    <w:p w14:paraId="458687F5" w14:textId="77777777"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Business Operations Risk Management Policy</w:t>
      </w:r>
    </w:p>
    <w:p w14:paraId="551A8BA8" w14:textId="77777777"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Energy Risk Management Policy</w:t>
      </w:r>
    </w:p>
    <w:p w14:paraId="766C9B12" w14:textId="77777777"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Financial Risk Management Policy.</w:t>
      </w:r>
    </w:p>
    <w:p w14:paraId="3F860916" w14:textId="0BAB8DB1" w:rsidR="00841E87" w:rsidRPr="00F720F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F720F4">
        <w:rPr>
          <w:rFonts w:cstheme="minorHAnsi"/>
        </w:rPr>
        <w:t xml:space="preserve">Approve updates to these policies </w:t>
      </w:r>
      <w:r w:rsidR="00886C3C">
        <w:rPr>
          <w:rFonts w:cstheme="minorHAnsi"/>
        </w:rPr>
        <w:t xml:space="preserve">as may be </w:t>
      </w:r>
      <w:r w:rsidRPr="00F720F4">
        <w:rPr>
          <w:rFonts w:cstheme="minorHAnsi"/>
        </w:rPr>
        <w:t>recommended by the Board Risk Oversight Committee</w:t>
      </w:r>
    </w:p>
    <w:p w14:paraId="14175B19" w14:textId="4F677C84" w:rsidR="00841E87" w:rsidRPr="00F720F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F720F4">
        <w:rPr>
          <w:rFonts w:cstheme="minorHAnsi"/>
        </w:rPr>
        <w:t xml:space="preserve">Receive and </w:t>
      </w:r>
      <w:r w:rsidR="00886C3C">
        <w:rPr>
          <w:rFonts w:cstheme="minorHAnsi"/>
        </w:rPr>
        <w:t>a</w:t>
      </w:r>
      <w:r w:rsidRPr="00F720F4">
        <w:rPr>
          <w:rFonts w:cstheme="minorHAnsi"/>
        </w:rPr>
        <w:t>pprove no less than annually, reports from the Board Risk Oversight Committee on the status of risk management activities and risk mitigation measures in place specific to;</w:t>
      </w:r>
    </w:p>
    <w:p w14:paraId="5F0E9A35" w14:textId="03161C3F"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Business Operations</w:t>
      </w:r>
      <w:r w:rsidR="00B6796B">
        <w:rPr>
          <w:rFonts w:cstheme="minorHAnsi"/>
        </w:rPr>
        <w:t xml:space="preserve"> Risks</w:t>
      </w:r>
    </w:p>
    <w:p w14:paraId="4E3ED213" w14:textId="6B8FB4C0"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Energy</w:t>
      </w:r>
      <w:r w:rsidR="00B6796B">
        <w:rPr>
          <w:rFonts w:cstheme="minorHAnsi"/>
        </w:rPr>
        <w:t xml:space="preserve"> Risks</w:t>
      </w:r>
    </w:p>
    <w:p w14:paraId="5B0DEF2E" w14:textId="32A43A31"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Financial</w:t>
      </w:r>
      <w:r w:rsidR="00B6796B">
        <w:rPr>
          <w:rFonts w:cstheme="minorHAnsi"/>
        </w:rPr>
        <w:t xml:space="preserve"> Risks</w:t>
      </w:r>
    </w:p>
    <w:p w14:paraId="409D8E1B" w14:textId="6A6C4677" w:rsidR="00841E87" w:rsidRPr="00F720F4" w:rsidRDefault="00841E87" w:rsidP="007C17D3">
      <w:pPr>
        <w:pStyle w:val="ListParagraph"/>
        <w:widowControl w:val="0"/>
        <w:numPr>
          <w:ilvl w:val="1"/>
          <w:numId w:val="13"/>
        </w:numPr>
        <w:autoSpaceDE w:val="0"/>
        <w:autoSpaceDN w:val="0"/>
        <w:spacing w:before="120" w:after="120" w:line="240" w:lineRule="auto"/>
        <w:contextualSpacing w:val="0"/>
        <w:jc w:val="both"/>
        <w:rPr>
          <w:rFonts w:cstheme="minorHAnsi"/>
        </w:rPr>
      </w:pPr>
      <w:r w:rsidRPr="00F720F4">
        <w:rPr>
          <w:rFonts w:cstheme="minorHAnsi"/>
        </w:rPr>
        <w:t xml:space="preserve">Approve the initial Risk Management </w:t>
      </w:r>
      <w:r>
        <w:rPr>
          <w:rFonts w:cstheme="minorHAnsi"/>
        </w:rPr>
        <w:t>Procedures (“Risk Management Procedures”)</w:t>
      </w:r>
      <w:r w:rsidRPr="00F720F4">
        <w:rPr>
          <w:rFonts w:cstheme="minorHAnsi"/>
        </w:rPr>
        <w:t xml:space="preserve"> for </w:t>
      </w:r>
      <w:r>
        <w:rPr>
          <w:rFonts w:cstheme="minorHAnsi"/>
        </w:rPr>
        <w:t xml:space="preserve">KYMEA’s </w:t>
      </w:r>
      <w:r w:rsidRPr="00F720F4">
        <w:rPr>
          <w:rFonts w:cstheme="minorHAnsi"/>
        </w:rPr>
        <w:t xml:space="preserve">Business Operations, Energy, and Financial </w:t>
      </w:r>
      <w:r>
        <w:rPr>
          <w:rFonts w:cstheme="minorHAnsi"/>
        </w:rPr>
        <w:t>activities</w:t>
      </w:r>
    </w:p>
    <w:p w14:paraId="776165D7" w14:textId="5020BD27" w:rsidR="00841E87" w:rsidRPr="00196191" w:rsidRDefault="00841E87" w:rsidP="007C17D3">
      <w:pPr>
        <w:pStyle w:val="ListParagraph"/>
        <w:numPr>
          <w:ilvl w:val="1"/>
          <w:numId w:val="13"/>
        </w:numPr>
        <w:spacing w:before="120" w:after="120" w:line="240" w:lineRule="auto"/>
        <w:contextualSpacing w:val="0"/>
        <w:jc w:val="both"/>
        <w:rPr>
          <w:rFonts w:cstheme="minorHAnsi"/>
        </w:rPr>
      </w:pPr>
      <w:r w:rsidRPr="00196191">
        <w:rPr>
          <w:rFonts w:cstheme="minorHAnsi"/>
        </w:rPr>
        <w:t>Receive periodic updates on KYMEA’s risk profile.</w:t>
      </w:r>
    </w:p>
    <w:p w14:paraId="6E8CE69C" w14:textId="77777777" w:rsidR="00841E87" w:rsidRDefault="00841E87" w:rsidP="007C17D3">
      <w:pPr>
        <w:pStyle w:val="ListParagraph"/>
        <w:widowControl w:val="0"/>
        <w:numPr>
          <w:ilvl w:val="0"/>
          <w:numId w:val="15"/>
        </w:numPr>
        <w:autoSpaceDE w:val="0"/>
        <w:autoSpaceDN w:val="0"/>
        <w:spacing w:before="120" w:after="120" w:line="240" w:lineRule="auto"/>
        <w:contextualSpacing w:val="0"/>
        <w:jc w:val="both"/>
        <w:rPr>
          <w:rFonts w:cstheme="minorHAnsi"/>
          <w:b/>
        </w:rPr>
      </w:pPr>
      <w:r w:rsidRPr="00196191">
        <w:rPr>
          <w:rFonts w:cstheme="minorHAnsi"/>
          <w:b/>
        </w:rPr>
        <w:t>Board Risk Oversight Committee (the “BROC”)</w:t>
      </w:r>
    </w:p>
    <w:p w14:paraId="2E77D21A" w14:textId="7EA0DE2C" w:rsidR="00841E87" w:rsidRPr="00384047" w:rsidRDefault="00841E87" w:rsidP="007C17D3">
      <w:pPr>
        <w:pStyle w:val="ListParagraph"/>
        <w:widowControl w:val="0"/>
        <w:numPr>
          <w:ilvl w:val="1"/>
          <w:numId w:val="15"/>
        </w:numPr>
        <w:autoSpaceDE w:val="0"/>
        <w:autoSpaceDN w:val="0"/>
        <w:spacing w:before="120" w:after="120" w:line="240" w:lineRule="auto"/>
        <w:contextualSpacing w:val="0"/>
        <w:jc w:val="both"/>
        <w:rPr>
          <w:rFonts w:cstheme="minorHAnsi"/>
        </w:rPr>
      </w:pPr>
      <w:r>
        <w:rPr>
          <w:rFonts w:cstheme="minorHAnsi"/>
        </w:rPr>
        <w:t>C</w:t>
      </w:r>
      <w:r w:rsidRPr="00196191">
        <w:rPr>
          <w:rFonts w:cstheme="minorHAnsi"/>
        </w:rPr>
        <w:t>omprised of</w:t>
      </w:r>
      <w:r>
        <w:rPr>
          <w:rFonts w:cstheme="minorHAnsi"/>
        </w:rPr>
        <w:t xml:space="preserve"> </w:t>
      </w:r>
      <w:r w:rsidRPr="006D0910">
        <w:rPr>
          <w:rFonts w:cstheme="minorHAnsi"/>
        </w:rPr>
        <w:t xml:space="preserve">five </w:t>
      </w:r>
      <w:r w:rsidR="00986E0F">
        <w:rPr>
          <w:rFonts w:cstheme="minorHAnsi"/>
        </w:rPr>
        <w:t xml:space="preserve">voting </w:t>
      </w:r>
      <w:r w:rsidRPr="006D0910">
        <w:rPr>
          <w:rFonts w:cstheme="minorHAnsi"/>
        </w:rPr>
        <w:t xml:space="preserve">members </w:t>
      </w:r>
      <w:r>
        <w:rPr>
          <w:rFonts w:cstheme="minorHAnsi"/>
        </w:rPr>
        <w:t>as follows:</w:t>
      </w:r>
    </w:p>
    <w:p w14:paraId="45C40AC8" w14:textId="012BFDE7" w:rsidR="00841E87" w:rsidRPr="00F720F4" w:rsidRDefault="00841E87" w:rsidP="007C17D3">
      <w:pPr>
        <w:pStyle w:val="ListParagraph"/>
        <w:widowControl w:val="0"/>
        <w:numPr>
          <w:ilvl w:val="2"/>
          <w:numId w:val="13"/>
        </w:numPr>
        <w:autoSpaceDE w:val="0"/>
        <w:autoSpaceDN w:val="0"/>
        <w:spacing w:before="120" w:after="120" w:line="240" w:lineRule="auto"/>
        <w:contextualSpacing w:val="0"/>
        <w:jc w:val="both"/>
        <w:rPr>
          <w:rFonts w:cstheme="minorHAnsi"/>
        </w:rPr>
      </w:pPr>
      <w:r w:rsidRPr="00F720F4">
        <w:rPr>
          <w:rFonts w:cstheme="minorHAnsi"/>
        </w:rPr>
        <w:t>Board Member</w:t>
      </w:r>
      <w:r w:rsidR="0091696E">
        <w:rPr>
          <w:rFonts w:cstheme="minorHAnsi"/>
        </w:rPr>
        <w:t xml:space="preserve"> </w:t>
      </w:r>
      <w:r w:rsidR="006305AD">
        <w:rPr>
          <w:rFonts w:cstheme="minorHAnsi"/>
        </w:rPr>
        <w:t>(Director or Alternate Director)</w:t>
      </w:r>
    </w:p>
    <w:p w14:paraId="0CDE849C" w14:textId="77777777" w:rsidR="00841E87" w:rsidRDefault="00841E87" w:rsidP="007C17D3">
      <w:pPr>
        <w:pStyle w:val="ListParagraph"/>
        <w:widowControl w:val="0"/>
        <w:numPr>
          <w:ilvl w:val="2"/>
          <w:numId w:val="13"/>
        </w:numPr>
        <w:autoSpaceDE w:val="0"/>
        <w:autoSpaceDN w:val="0"/>
        <w:spacing w:before="120" w:after="0" w:line="240" w:lineRule="auto"/>
        <w:contextualSpacing w:val="0"/>
        <w:jc w:val="both"/>
        <w:rPr>
          <w:rFonts w:cstheme="minorHAnsi"/>
        </w:rPr>
      </w:pPr>
      <w:r w:rsidRPr="00F720F4">
        <w:rPr>
          <w:rFonts w:cstheme="minorHAnsi"/>
        </w:rPr>
        <w:lastRenderedPageBreak/>
        <w:t xml:space="preserve">AR Project Committee </w:t>
      </w:r>
      <w:r>
        <w:rPr>
          <w:rFonts w:cstheme="minorHAnsi"/>
        </w:rPr>
        <w:t>Member</w:t>
      </w:r>
    </w:p>
    <w:p w14:paraId="4F920201" w14:textId="77777777" w:rsidR="00841E87" w:rsidRPr="00F720F4" w:rsidRDefault="00841E87" w:rsidP="007C17D3">
      <w:pPr>
        <w:pStyle w:val="ListParagraph"/>
        <w:widowControl w:val="0"/>
        <w:numPr>
          <w:ilvl w:val="2"/>
          <w:numId w:val="13"/>
        </w:numPr>
        <w:autoSpaceDE w:val="0"/>
        <w:autoSpaceDN w:val="0"/>
        <w:spacing w:before="120" w:after="0" w:line="240" w:lineRule="auto"/>
        <w:contextualSpacing w:val="0"/>
        <w:jc w:val="both"/>
        <w:rPr>
          <w:rFonts w:cstheme="minorHAnsi"/>
        </w:rPr>
      </w:pPr>
      <w:r w:rsidRPr="00F720F4">
        <w:rPr>
          <w:rFonts w:cstheme="minorHAnsi"/>
        </w:rPr>
        <w:t>CEO</w:t>
      </w:r>
    </w:p>
    <w:p w14:paraId="2F63B615" w14:textId="77777777" w:rsidR="00841E87" w:rsidRPr="00F720F4" w:rsidRDefault="00841E87" w:rsidP="007C17D3">
      <w:pPr>
        <w:pStyle w:val="ListParagraph"/>
        <w:widowControl w:val="0"/>
        <w:numPr>
          <w:ilvl w:val="2"/>
          <w:numId w:val="13"/>
        </w:numPr>
        <w:autoSpaceDE w:val="0"/>
        <w:autoSpaceDN w:val="0"/>
        <w:spacing w:before="120" w:after="0" w:line="240" w:lineRule="auto"/>
        <w:contextualSpacing w:val="0"/>
        <w:jc w:val="both"/>
        <w:rPr>
          <w:rFonts w:cstheme="minorHAnsi"/>
        </w:rPr>
      </w:pPr>
      <w:r w:rsidRPr="00F720F4">
        <w:rPr>
          <w:rFonts w:cstheme="minorHAnsi"/>
        </w:rPr>
        <w:t>CFO</w:t>
      </w:r>
    </w:p>
    <w:p w14:paraId="1F4D15AD" w14:textId="77777777" w:rsidR="00841E87" w:rsidRPr="00F720F4" w:rsidRDefault="00841E87" w:rsidP="007C17D3">
      <w:pPr>
        <w:pStyle w:val="ListParagraph"/>
        <w:widowControl w:val="0"/>
        <w:numPr>
          <w:ilvl w:val="2"/>
          <w:numId w:val="13"/>
        </w:numPr>
        <w:autoSpaceDE w:val="0"/>
        <w:autoSpaceDN w:val="0"/>
        <w:spacing w:before="120" w:after="0" w:line="240" w:lineRule="auto"/>
        <w:contextualSpacing w:val="0"/>
        <w:jc w:val="both"/>
        <w:rPr>
          <w:rFonts w:cstheme="minorHAnsi"/>
        </w:rPr>
      </w:pPr>
      <w:r w:rsidRPr="00F720F4">
        <w:rPr>
          <w:rFonts w:cstheme="minorHAnsi"/>
        </w:rPr>
        <w:t>Legal Counsel</w:t>
      </w:r>
    </w:p>
    <w:p w14:paraId="6B4563B7" w14:textId="66A3FC6F" w:rsidR="00841E87" w:rsidRPr="00F720F4" w:rsidRDefault="00841E87" w:rsidP="00F035BE">
      <w:pPr>
        <w:pStyle w:val="ListParagraph"/>
        <w:spacing w:before="0" w:after="0"/>
        <w:ind w:left="1800"/>
        <w:jc w:val="both"/>
        <w:rPr>
          <w:rFonts w:cstheme="minorHAnsi"/>
        </w:rPr>
      </w:pPr>
    </w:p>
    <w:p w14:paraId="600F4376" w14:textId="13055BE9" w:rsidR="00841E87" w:rsidRDefault="00841E87" w:rsidP="007C17D3">
      <w:pPr>
        <w:pStyle w:val="ListParagraph"/>
        <w:widowControl w:val="0"/>
        <w:numPr>
          <w:ilvl w:val="1"/>
          <w:numId w:val="15"/>
        </w:numPr>
        <w:autoSpaceDE w:val="0"/>
        <w:autoSpaceDN w:val="0"/>
        <w:spacing w:before="0" w:after="120" w:line="240" w:lineRule="auto"/>
        <w:contextualSpacing w:val="0"/>
        <w:jc w:val="both"/>
        <w:rPr>
          <w:rFonts w:cstheme="minorHAnsi"/>
        </w:rPr>
      </w:pPr>
      <w:r>
        <w:rPr>
          <w:rFonts w:cstheme="minorHAnsi"/>
        </w:rPr>
        <w:t>M</w:t>
      </w:r>
      <w:r w:rsidRPr="006D0910">
        <w:rPr>
          <w:rFonts w:cstheme="minorHAnsi"/>
        </w:rPr>
        <w:t>onitor</w:t>
      </w:r>
      <w:r>
        <w:rPr>
          <w:rFonts w:cstheme="minorHAnsi"/>
        </w:rPr>
        <w:t>s</w:t>
      </w:r>
      <w:r w:rsidRPr="006D0910">
        <w:rPr>
          <w:rFonts w:cstheme="minorHAnsi"/>
        </w:rPr>
        <w:t xml:space="preserve"> the activities of the IRC to </w:t>
      </w:r>
      <w:r w:rsidR="00B6796B">
        <w:rPr>
          <w:rFonts w:cstheme="minorHAnsi"/>
        </w:rPr>
        <w:t>e</w:t>
      </w:r>
      <w:r w:rsidRPr="006D0910">
        <w:rPr>
          <w:rFonts w:cstheme="minorHAnsi"/>
        </w:rPr>
        <w:t>nsure compliance with the Enterprise Risk Management Policy</w:t>
      </w:r>
      <w:r>
        <w:rPr>
          <w:rFonts w:cstheme="minorHAnsi"/>
        </w:rPr>
        <w:t>;</w:t>
      </w:r>
    </w:p>
    <w:p w14:paraId="449BF9EE" w14:textId="301B81C3" w:rsidR="00841E87" w:rsidRDefault="000D2F7A" w:rsidP="007C17D3">
      <w:pPr>
        <w:pStyle w:val="ListParagraph"/>
        <w:widowControl w:val="0"/>
        <w:numPr>
          <w:ilvl w:val="1"/>
          <w:numId w:val="15"/>
        </w:numPr>
        <w:autoSpaceDE w:val="0"/>
        <w:autoSpaceDN w:val="0"/>
        <w:spacing w:before="120" w:after="120" w:line="240" w:lineRule="auto"/>
        <w:contextualSpacing w:val="0"/>
        <w:jc w:val="both"/>
        <w:rPr>
          <w:rFonts w:cstheme="minorHAnsi"/>
        </w:rPr>
      </w:pPr>
      <w:r>
        <w:rPr>
          <w:rFonts w:cstheme="minorHAnsi"/>
        </w:rPr>
        <w:t>R</w:t>
      </w:r>
      <w:r w:rsidR="00841E87">
        <w:rPr>
          <w:rFonts w:cstheme="minorHAnsi"/>
        </w:rPr>
        <w:t>eceive</w:t>
      </w:r>
      <w:r>
        <w:rPr>
          <w:rFonts w:cstheme="minorHAnsi"/>
        </w:rPr>
        <w:t>s</w:t>
      </w:r>
      <w:r w:rsidR="00841E87">
        <w:rPr>
          <w:rFonts w:cstheme="minorHAnsi"/>
        </w:rPr>
        <w:t xml:space="preserve"> and review</w:t>
      </w:r>
      <w:r>
        <w:rPr>
          <w:rFonts w:cstheme="minorHAnsi"/>
        </w:rPr>
        <w:t>s</w:t>
      </w:r>
      <w:r w:rsidR="00841E87">
        <w:rPr>
          <w:rFonts w:cstheme="minorHAnsi"/>
        </w:rPr>
        <w:t xml:space="preserve"> from the Internal Risk Committee</w:t>
      </w:r>
      <w:r w:rsidR="00841E87" w:rsidRPr="006D0910">
        <w:rPr>
          <w:rFonts w:cstheme="minorHAnsi"/>
        </w:rPr>
        <w:t xml:space="preserve"> quarterly </w:t>
      </w:r>
      <w:r w:rsidR="00841E87">
        <w:rPr>
          <w:rFonts w:cstheme="minorHAnsi"/>
        </w:rPr>
        <w:t xml:space="preserve">Risk Management reports </w:t>
      </w:r>
      <w:r w:rsidR="00841E87" w:rsidRPr="006D0910">
        <w:rPr>
          <w:rFonts w:cstheme="minorHAnsi"/>
        </w:rPr>
        <w:t>on Business Operations, Energy, and Financial  activities</w:t>
      </w:r>
      <w:r w:rsidR="00841E87">
        <w:rPr>
          <w:rFonts w:cstheme="minorHAnsi"/>
        </w:rPr>
        <w:t>;</w:t>
      </w:r>
    </w:p>
    <w:p w14:paraId="2ED0072A" w14:textId="6F3F7641" w:rsidR="00841E87" w:rsidRDefault="00DF22C7" w:rsidP="007C17D3">
      <w:pPr>
        <w:pStyle w:val="ListParagraph"/>
        <w:numPr>
          <w:ilvl w:val="1"/>
          <w:numId w:val="15"/>
        </w:numPr>
        <w:spacing w:before="120" w:after="120" w:line="240" w:lineRule="auto"/>
        <w:contextualSpacing w:val="0"/>
        <w:jc w:val="both"/>
        <w:rPr>
          <w:rFonts w:cstheme="minorHAnsi"/>
        </w:rPr>
      </w:pPr>
      <w:r>
        <w:rPr>
          <w:rFonts w:cstheme="minorHAnsi"/>
        </w:rPr>
        <w:t>Reports</w:t>
      </w:r>
      <w:r w:rsidR="00841E87">
        <w:rPr>
          <w:rFonts w:cstheme="minorHAnsi"/>
        </w:rPr>
        <w:t xml:space="preserve"> annual</w:t>
      </w:r>
      <w:r w:rsidR="00B81942">
        <w:rPr>
          <w:rFonts w:cstheme="minorHAnsi"/>
        </w:rPr>
        <w:t>ly</w:t>
      </w:r>
      <w:r w:rsidR="00841E87">
        <w:rPr>
          <w:rFonts w:cstheme="minorHAnsi"/>
        </w:rPr>
        <w:t xml:space="preserve"> </w:t>
      </w:r>
      <w:r w:rsidR="00841E87" w:rsidRPr="00162C7D">
        <w:rPr>
          <w:rFonts w:cstheme="minorHAnsi"/>
        </w:rPr>
        <w:t xml:space="preserve">on the Risk Management activities and results to the </w:t>
      </w:r>
      <w:r w:rsidR="00841E87">
        <w:rPr>
          <w:rFonts w:cstheme="minorHAnsi"/>
        </w:rPr>
        <w:t xml:space="preserve">KYMEA </w:t>
      </w:r>
      <w:r w:rsidR="00841E87" w:rsidRPr="00162C7D">
        <w:rPr>
          <w:rFonts w:cstheme="minorHAnsi"/>
        </w:rPr>
        <w:t xml:space="preserve">Board; </w:t>
      </w:r>
    </w:p>
    <w:p w14:paraId="7DAF98B7" w14:textId="2403A8CE" w:rsidR="00841E87" w:rsidRPr="00162C7D" w:rsidRDefault="00B81942" w:rsidP="007C17D3">
      <w:pPr>
        <w:pStyle w:val="ListParagraph"/>
        <w:numPr>
          <w:ilvl w:val="1"/>
          <w:numId w:val="15"/>
        </w:numPr>
        <w:spacing w:before="120" w:after="120" w:line="240" w:lineRule="auto"/>
        <w:contextualSpacing w:val="0"/>
        <w:jc w:val="both"/>
        <w:rPr>
          <w:rFonts w:cstheme="minorHAnsi"/>
        </w:rPr>
      </w:pPr>
      <w:r>
        <w:rPr>
          <w:rFonts w:cstheme="minorHAnsi"/>
        </w:rPr>
        <w:t>R</w:t>
      </w:r>
      <w:r w:rsidR="00841E87" w:rsidRPr="00162C7D">
        <w:rPr>
          <w:rFonts w:cstheme="minorHAnsi"/>
        </w:rPr>
        <w:t>eview</w:t>
      </w:r>
      <w:r>
        <w:rPr>
          <w:rFonts w:cstheme="minorHAnsi"/>
        </w:rPr>
        <w:t>s</w:t>
      </w:r>
      <w:r w:rsidR="00841E87" w:rsidRPr="00162C7D">
        <w:rPr>
          <w:rFonts w:cstheme="minorHAnsi"/>
        </w:rPr>
        <w:t xml:space="preserve"> and recommend</w:t>
      </w:r>
      <w:r w:rsidR="00841E87">
        <w:rPr>
          <w:rFonts w:cstheme="minorHAnsi"/>
        </w:rPr>
        <w:t xml:space="preserve">s </w:t>
      </w:r>
      <w:r w:rsidR="00841E87" w:rsidRPr="00162C7D">
        <w:rPr>
          <w:rFonts w:cstheme="minorHAnsi"/>
        </w:rPr>
        <w:t xml:space="preserve">changes </w:t>
      </w:r>
      <w:r w:rsidR="00B318DF">
        <w:rPr>
          <w:rFonts w:cstheme="minorHAnsi"/>
        </w:rPr>
        <w:t>of</w:t>
      </w:r>
      <w:r w:rsidR="00841E87" w:rsidRPr="00162C7D">
        <w:rPr>
          <w:rFonts w:cstheme="minorHAnsi"/>
        </w:rPr>
        <w:t xml:space="preserve"> the </w:t>
      </w:r>
      <w:r w:rsidR="00841E87">
        <w:rPr>
          <w:rFonts w:cstheme="minorHAnsi"/>
        </w:rPr>
        <w:t xml:space="preserve">Risk Management </w:t>
      </w:r>
      <w:r w:rsidR="006A0618">
        <w:rPr>
          <w:rFonts w:cstheme="minorHAnsi"/>
        </w:rPr>
        <w:t>Policies</w:t>
      </w:r>
      <w:r w:rsidR="006A0618" w:rsidRPr="00162C7D">
        <w:rPr>
          <w:rFonts w:cstheme="minorHAnsi"/>
        </w:rPr>
        <w:t xml:space="preserve"> </w:t>
      </w:r>
      <w:r w:rsidR="00841E87" w:rsidRPr="00162C7D">
        <w:rPr>
          <w:rFonts w:cstheme="minorHAnsi"/>
        </w:rPr>
        <w:t xml:space="preserve">to the KYMEA </w:t>
      </w:r>
      <w:r w:rsidR="00841E87">
        <w:rPr>
          <w:rFonts w:cstheme="minorHAnsi"/>
        </w:rPr>
        <w:t xml:space="preserve">Board </w:t>
      </w:r>
      <w:r w:rsidR="00841E87" w:rsidRPr="00162C7D">
        <w:rPr>
          <w:rFonts w:cstheme="minorHAnsi"/>
        </w:rPr>
        <w:t xml:space="preserve">as </w:t>
      </w:r>
      <w:r>
        <w:rPr>
          <w:rFonts w:cstheme="minorHAnsi"/>
        </w:rPr>
        <w:t>it deems appropriate</w:t>
      </w:r>
      <w:r w:rsidR="00841E87" w:rsidRPr="00162C7D">
        <w:rPr>
          <w:rFonts w:cstheme="minorHAnsi"/>
        </w:rPr>
        <w:t xml:space="preserve">. </w:t>
      </w:r>
    </w:p>
    <w:p w14:paraId="5482A91A" w14:textId="57C7A0A5" w:rsidR="00841E87" w:rsidRDefault="00841E87" w:rsidP="00841E87">
      <w:pPr>
        <w:spacing w:before="120" w:after="120"/>
        <w:ind w:left="720"/>
        <w:jc w:val="both"/>
        <w:rPr>
          <w:rFonts w:cstheme="minorHAnsi"/>
        </w:rPr>
      </w:pPr>
      <w:r w:rsidRPr="00F720F4">
        <w:rPr>
          <w:rFonts w:cstheme="minorHAnsi"/>
        </w:rPr>
        <w:t>Subsequent to the initial Board approval of the Risk Management  Procedures</w:t>
      </w:r>
      <w:r>
        <w:rPr>
          <w:rFonts w:cstheme="minorHAnsi"/>
        </w:rPr>
        <w:t>,</w:t>
      </w:r>
      <w:r w:rsidRPr="00F720F4">
        <w:rPr>
          <w:rFonts w:cstheme="minorHAnsi"/>
        </w:rPr>
        <w:t xml:space="preserve"> the B</w:t>
      </w:r>
      <w:r>
        <w:rPr>
          <w:rFonts w:cstheme="minorHAnsi"/>
        </w:rPr>
        <w:t>ROC</w:t>
      </w:r>
      <w:r w:rsidRPr="00F720F4">
        <w:rPr>
          <w:rFonts w:cstheme="minorHAnsi"/>
        </w:rPr>
        <w:t xml:space="preserve"> will </w:t>
      </w:r>
      <w:r w:rsidR="0081396D">
        <w:rPr>
          <w:rFonts w:cstheme="minorHAnsi"/>
        </w:rPr>
        <w:t>be responsible for approving</w:t>
      </w:r>
      <w:r w:rsidRPr="00F720F4">
        <w:rPr>
          <w:rFonts w:cstheme="minorHAnsi"/>
        </w:rPr>
        <w:t xml:space="preserve"> future revisions to the Risk Management </w:t>
      </w:r>
      <w:r>
        <w:rPr>
          <w:rFonts w:cstheme="minorHAnsi"/>
        </w:rPr>
        <w:t>Procedures</w:t>
      </w:r>
      <w:r w:rsidRPr="00F720F4">
        <w:rPr>
          <w:rFonts w:cstheme="minorHAnsi"/>
        </w:rPr>
        <w:t xml:space="preserve"> submitted by the I</w:t>
      </w:r>
      <w:r>
        <w:rPr>
          <w:rFonts w:cstheme="minorHAnsi"/>
        </w:rPr>
        <w:t>nternal Risk Committee</w:t>
      </w:r>
      <w:r w:rsidRPr="00F720F4">
        <w:rPr>
          <w:rFonts w:cstheme="minorHAnsi"/>
        </w:rPr>
        <w:t xml:space="preserve"> for consideration.</w:t>
      </w:r>
    </w:p>
    <w:p w14:paraId="339E37C4" w14:textId="77777777" w:rsidR="00841E87" w:rsidRDefault="00841E87" w:rsidP="00841E87">
      <w:pPr>
        <w:spacing w:before="120" w:after="120"/>
        <w:ind w:left="720"/>
        <w:jc w:val="both"/>
        <w:rPr>
          <w:rFonts w:cstheme="minorHAnsi"/>
        </w:rPr>
      </w:pPr>
      <w:r w:rsidRPr="00F720F4">
        <w:rPr>
          <w:rFonts w:cstheme="minorHAnsi"/>
        </w:rPr>
        <w:t xml:space="preserve">If recommended revisions to Risk Management </w:t>
      </w:r>
      <w:r>
        <w:rPr>
          <w:rFonts w:cstheme="minorHAnsi"/>
        </w:rPr>
        <w:t>Procedures</w:t>
      </w:r>
      <w:r w:rsidRPr="00F720F4">
        <w:rPr>
          <w:rFonts w:cstheme="minorHAnsi"/>
        </w:rPr>
        <w:t xml:space="preserve"> represent a material change that could impact policy guidelines, the BROC will submit the revisions to the Board for consideration along with any affected policy provisions.</w:t>
      </w:r>
    </w:p>
    <w:p w14:paraId="57CE3491" w14:textId="3B6FA088" w:rsidR="00841E87" w:rsidRPr="00F720F4" w:rsidRDefault="00841E87" w:rsidP="00841E87">
      <w:pPr>
        <w:spacing w:before="120" w:after="120"/>
        <w:ind w:left="720"/>
        <w:jc w:val="both"/>
        <w:rPr>
          <w:rFonts w:cstheme="minorHAnsi"/>
        </w:rPr>
      </w:pPr>
      <w:r w:rsidRPr="00F720F4">
        <w:rPr>
          <w:rFonts w:cstheme="minorHAnsi"/>
        </w:rPr>
        <w:t xml:space="preserve">Chairman of BROC or CEO can call a meeting </w:t>
      </w:r>
      <w:r w:rsidR="00371727">
        <w:rPr>
          <w:rFonts w:cstheme="minorHAnsi"/>
        </w:rPr>
        <w:t xml:space="preserve">of BROC </w:t>
      </w:r>
      <w:r w:rsidRPr="00F720F4">
        <w:rPr>
          <w:rFonts w:cstheme="minorHAnsi"/>
        </w:rPr>
        <w:t xml:space="preserve">at any time based on any concerns </w:t>
      </w:r>
      <w:r w:rsidR="0081396D">
        <w:rPr>
          <w:rFonts w:cstheme="minorHAnsi"/>
        </w:rPr>
        <w:t>regarding</w:t>
      </w:r>
      <w:r w:rsidRPr="00F720F4">
        <w:rPr>
          <w:rFonts w:cstheme="minorHAnsi"/>
        </w:rPr>
        <w:t xml:space="preserve"> compliance </w:t>
      </w:r>
      <w:r w:rsidR="0081396D">
        <w:rPr>
          <w:rFonts w:cstheme="minorHAnsi"/>
        </w:rPr>
        <w:t xml:space="preserve">with </w:t>
      </w:r>
      <w:r w:rsidRPr="00F720F4">
        <w:rPr>
          <w:rFonts w:cstheme="minorHAnsi"/>
        </w:rPr>
        <w:t xml:space="preserve">or implementation of the </w:t>
      </w:r>
      <w:r w:rsidR="00F30304">
        <w:rPr>
          <w:rFonts w:cstheme="minorHAnsi"/>
        </w:rPr>
        <w:t>E</w:t>
      </w:r>
      <w:r w:rsidRPr="00F720F4">
        <w:rPr>
          <w:rFonts w:cstheme="minorHAnsi"/>
        </w:rPr>
        <w:t xml:space="preserve">nterprise </w:t>
      </w:r>
      <w:r w:rsidR="00F30304">
        <w:rPr>
          <w:rFonts w:cstheme="minorHAnsi"/>
        </w:rPr>
        <w:t>R</w:t>
      </w:r>
      <w:r w:rsidRPr="00F720F4">
        <w:rPr>
          <w:rFonts w:cstheme="minorHAnsi"/>
        </w:rPr>
        <w:t xml:space="preserve">isk </w:t>
      </w:r>
      <w:r w:rsidR="007D2B0C">
        <w:rPr>
          <w:rFonts w:cstheme="minorHAnsi"/>
        </w:rPr>
        <w:t>P</w:t>
      </w:r>
      <w:r w:rsidRPr="00F720F4">
        <w:rPr>
          <w:rFonts w:cstheme="minorHAnsi"/>
        </w:rPr>
        <w:t>olicies.</w:t>
      </w:r>
    </w:p>
    <w:p w14:paraId="1CC37AC4" w14:textId="2550F603" w:rsidR="00841E87" w:rsidRPr="00234151" w:rsidRDefault="00841E87" w:rsidP="007C17D3">
      <w:pPr>
        <w:pStyle w:val="ListParagraph"/>
        <w:widowControl w:val="0"/>
        <w:numPr>
          <w:ilvl w:val="0"/>
          <w:numId w:val="15"/>
        </w:numPr>
        <w:autoSpaceDE w:val="0"/>
        <w:autoSpaceDN w:val="0"/>
        <w:spacing w:before="120" w:after="120" w:line="240" w:lineRule="auto"/>
        <w:contextualSpacing w:val="0"/>
        <w:jc w:val="both"/>
        <w:rPr>
          <w:rFonts w:cstheme="minorHAnsi"/>
          <w:b/>
        </w:rPr>
      </w:pPr>
      <w:r w:rsidRPr="00234151">
        <w:rPr>
          <w:rFonts w:cstheme="minorHAnsi"/>
          <w:b/>
        </w:rPr>
        <w:t>Internal Risk Committee (the</w:t>
      </w:r>
      <w:r w:rsidR="00807105">
        <w:rPr>
          <w:rFonts w:cstheme="minorHAnsi"/>
          <w:b/>
        </w:rPr>
        <w:t xml:space="preserve"> </w:t>
      </w:r>
      <w:r w:rsidRPr="00234151">
        <w:rPr>
          <w:rFonts w:cstheme="minorHAnsi"/>
          <w:b/>
        </w:rPr>
        <w:t>”IRC”)</w:t>
      </w:r>
    </w:p>
    <w:p w14:paraId="12496DC0" w14:textId="711D40A3" w:rsidR="00841E87" w:rsidRDefault="00841E87" w:rsidP="007C17D3">
      <w:pPr>
        <w:pStyle w:val="ListParagraph"/>
        <w:numPr>
          <w:ilvl w:val="1"/>
          <w:numId w:val="15"/>
        </w:numPr>
        <w:spacing w:before="120" w:after="120" w:line="240" w:lineRule="auto"/>
        <w:contextualSpacing w:val="0"/>
        <w:jc w:val="both"/>
        <w:rPr>
          <w:rFonts w:cstheme="minorHAnsi"/>
        </w:rPr>
      </w:pPr>
      <w:r w:rsidRPr="00234151">
        <w:rPr>
          <w:rFonts w:cstheme="minorHAnsi"/>
        </w:rPr>
        <w:t xml:space="preserve">The </w:t>
      </w:r>
      <w:r>
        <w:rPr>
          <w:rFonts w:cstheme="minorHAnsi"/>
        </w:rPr>
        <w:t>IRC</w:t>
      </w:r>
      <w:r w:rsidRPr="00234151">
        <w:rPr>
          <w:rFonts w:cstheme="minorHAnsi"/>
        </w:rPr>
        <w:t xml:space="preserve"> shall be formed upon the approval of this </w:t>
      </w:r>
      <w:r w:rsidR="00F30304">
        <w:rPr>
          <w:rFonts w:cstheme="minorHAnsi"/>
        </w:rPr>
        <w:t xml:space="preserve">Enterprise </w:t>
      </w:r>
      <w:r>
        <w:rPr>
          <w:rFonts w:cstheme="minorHAnsi"/>
        </w:rPr>
        <w:t>Risk Management P</w:t>
      </w:r>
      <w:r w:rsidRPr="00234151">
        <w:rPr>
          <w:rFonts w:cstheme="minorHAnsi"/>
        </w:rPr>
        <w:t xml:space="preserve">olicy by the </w:t>
      </w:r>
      <w:r w:rsidR="00F30304">
        <w:rPr>
          <w:rFonts w:cstheme="minorHAnsi"/>
        </w:rPr>
        <w:t>Board</w:t>
      </w:r>
      <w:r w:rsidRPr="00234151">
        <w:rPr>
          <w:rFonts w:cstheme="minorHAnsi"/>
        </w:rPr>
        <w:t>.</w:t>
      </w:r>
    </w:p>
    <w:p w14:paraId="2604093C" w14:textId="0A45A242" w:rsidR="00841E87" w:rsidRDefault="00841E87" w:rsidP="007C17D3">
      <w:pPr>
        <w:pStyle w:val="ListParagraph"/>
        <w:numPr>
          <w:ilvl w:val="1"/>
          <w:numId w:val="15"/>
        </w:numPr>
        <w:spacing w:before="120" w:after="120" w:line="240" w:lineRule="auto"/>
        <w:contextualSpacing w:val="0"/>
        <w:jc w:val="both"/>
        <w:rPr>
          <w:rFonts w:cstheme="minorHAnsi"/>
        </w:rPr>
      </w:pPr>
      <w:r w:rsidRPr="000008B1">
        <w:rPr>
          <w:rFonts w:cstheme="minorHAnsi"/>
        </w:rPr>
        <w:t xml:space="preserve">The </w:t>
      </w:r>
      <w:r>
        <w:rPr>
          <w:rFonts w:cstheme="minorHAnsi"/>
        </w:rPr>
        <w:t>IRC</w:t>
      </w:r>
      <w:r w:rsidRPr="000008B1">
        <w:rPr>
          <w:rFonts w:cstheme="minorHAnsi"/>
        </w:rPr>
        <w:t xml:space="preserve"> shall </w:t>
      </w:r>
      <w:r w:rsidR="000A7EF2">
        <w:rPr>
          <w:rFonts w:cstheme="minorHAnsi"/>
        </w:rPr>
        <w:t>have four</w:t>
      </w:r>
      <w:r w:rsidRPr="000008B1">
        <w:rPr>
          <w:rFonts w:cstheme="minorHAnsi"/>
        </w:rPr>
        <w:t xml:space="preserve"> members as follows:</w:t>
      </w:r>
    </w:p>
    <w:p w14:paraId="03E31C44" w14:textId="77777777" w:rsidR="00841E87" w:rsidRDefault="00841E87" w:rsidP="007C17D3">
      <w:pPr>
        <w:pStyle w:val="ListParagraph"/>
        <w:numPr>
          <w:ilvl w:val="2"/>
          <w:numId w:val="15"/>
        </w:numPr>
        <w:spacing w:before="120" w:after="120" w:line="240" w:lineRule="auto"/>
        <w:contextualSpacing w:val="0"/>
        <w:jc w:val="both"/>
        <w:rPr>
          <w:rFonts w:cstheme="minorHAnsi"/>
        </w:rPr>
      </w:pPr>
      <w:r>
        <w:rPr>
          <w:rFonts w:cstheme="minorHAnsi"/>
        </w:rPr>
        <w:t>President and CEO (“CEO”), who shall serve as Chairperson of the IRC</w:t>
      </w:r>
    </w:p>
    <w:p w14:paraId="3AC00B89" w14:textId="77777777" w:rsidR="00841E87" w:rsidRDefault="00841E87" w:rsidP="007C17D3">
      <w:pPr>
        <w:pStyle w:val="ListParagraph"/>
        <w:numPr>
          <w:ilvl w:val="2"/>
          <w:numId w:val="15"/>
        </w:numPr>
        <w:spacing w:before="120" w:after="120" w:line="240" w:lineRule="auto"/>
        <w:contextualSpacing w:val="0"/>
        <w:jc w:val="both"/>
        <w:rPr>
          <w:rFonts w:cstheme="minorHAnsi"/>
        </w:rPr>
      </w:pPr>
      <w:r w:rsidRPr="000008B1">
        <w:rPr>
          <w:rFonts w:cstheme="minorHAnsi"/>
        </w:rPr>
        <w:t>Vice President of Market Analytics</w:t>
      </w:r>
    </w:p>
    <w:p w14:paraId="74874E66" w14:textId="77777777" w:rsidR="00841E87" w:rsidRDefault="00841E87" w:rsidP="007C17D3">
      <w:pPr>
        <w:pStyle w:val="ListParagraph"/>
        <w:numPr>
          <w:ilvl w:val="2"/>
          <w:numId w:val="15"/>
        </w:numPr>
        <w:spacing w:before="120" w:after="120" w:line="240" w:lineRule="auto"/>
        <w:contextualSpacing w:val="0"/>
        <w:jc w:val="both"/>
        <w:rPr>
          <w:rFonts w:cstheme="minorHAnsi"/>
        </w:rPr>
      </w:pPr>
      <w:r w:rsidRPr="000008B1">
        <w:rPr>
          <w:rFonts w:cstheme="minorHAnsi"/>
        </w:rPr>
        <w:t>Chief Financial Officer (</w:t>
      </w:r>
      <w:r>
        <w:rPr>
          <w:rFonts w:cstheme="minorHAnsi"/>
        </w:rPr>
        <w:t>“</w:t>
      </w:r>
      <w:r w:rsidRPr="000008B1">
        <w:rPr>
          <w:rFonts w:cstheme="minorHAnsi"/>
        </w:rPr>
        <w:t>CFO</w:t>
      </w:r>
      <w:r>
        <w:rPr>
          <w:rFonts w:cstheme="minorHAnsi"/>
        </w:rPr>
        <w:t>”</w:t>
      </w:r>
      <w:r w:rsidRPr="000008B1">
        <w:rPr>
          <w:rFonts w:cstheme="minorHAnsi"/>
        </w:rPr>
        <w:t>)</w:t>
      </w:r>
    </w:p>
    <w:p w14:paraId="05D791C6" w14:textId="77777777" w:rsidR="00841E87" w:rsidRDefault="00841E87" w:rsidP="007C17D3">
      <w:pPr>
        <w:pStyle w:val="ListParagraph"/>
        <w:numPr>
          <w:ilvl w:val="2"/>
          <w:numId w:val="15"/>
        </w:numPr>
        <w:spacing w:before="120" w:after="120" w:line="240" w:lineRule="auto"/>
        <w:contextualSpacing w:val="0"/>
        <w:jc w:val="both"/>
        <w:rPr>
          <w:rFonts w:cstheme="minorHAnsi"/>
        </w:rPr>
      </w:pPr>
      <w:r w:rsidRPr="00550B4E">
        <w:rPr>
          <w:rFonts w:cstheme="minorHAnsi"/>
        </w:rPr>
        <w:t>Outside Counsel</w:t>
      </w:r>
    </w:p>
    <w:p w14:paraId="3A001001" w14:textId="77777777" w:rsidR="00841E87" w:rsidRDefault="00841E87" w:rsidP="007C17D3">
      <w:pPr>
        <w:pStyle w:val="ListParagraph"/>
        <w:numPr>
          <w:ilvl w:val="1"/>
          <w:numId w:val="15"/>
        </w:numPr>
        <w:spacing w:before="120" w:after="120" w:line="240" w:lineRule="auto"/>
        <w:contextualSpacing w:val="0"/>
        <w:jc w:val="both"/>
        <w:rPr>
          <w:rFonts w:cstheme="minorHAnsi"/>
        </w:rPr>
      </w:pPr>
      <w:r w:rsidRPr="00B74949">
        <w:rPr>
          <w:rFonts w:cstheme="minorHAnsi"/>
        </w:rPr>
        <w:t>The Chairperson of the IRC shall schedule meetings at least quarterly.</w:t>
      </w:r>
    </w:p>
    <w:p w14:paraId="2F72BD3F" w14:textId="77777777" w:rsidR="00841E87" w:rsidRDefault="00841E87" w:rsidP="007C17D3">
      <w:pPr>
        <w:pStyle w:val="ListParagraph"/>
        <w:numPr>
          <w:ilvl w:val="1"/>
          <w:numId w:val="15"/>
        </w:numPr>
        <w:spacing w:before="120" w:after="120" w:line="240" w:lineRule="auto"/>
        <w:contextualSpacing w:val="0"/>
        <w:jc w:val="both"/>
        <w:rPr>
          <w:rFonts w:cstheme="minorHAnsi"/>
        </w:rPr>
      </w:pPr>
      <w:r w:rsidRPr="00B74949">
        <w:rPr>
          <w:rFonts w:cstheme="minorHAnsi"/>
        </w:rPr>
        <w:t>The IRC shall approve each strategy and hedge recommendation prior to the commencement of the implementation of the recommendation. The approval shall specifically include the following:</w:t>
      </w:r>
    </w:p>
    <w:p w14:paraId="5FD2ED48" w14:textId="7DE363C2" w:rsidR="00841E87" w:rsidRDefault="00841E87" w:rsidP="007C17D3">
      <w:pPr>
        <w:pStyle w:val="ListParagraph"/>
        <w:numPr>
          <w:ilvl w:val="2"/>
          <w:numId w:val="15"/>
        </w:numPr>
        <w:spacing w:before="120" w:after="120" w:line="240" w:lineRule="auto"/>
        <w:contextualSpacing w:val="0"/>
        <w:jc w:val="both"/>
        <w:rPr>
          <w:rFonts w:cstheme="minorHAnsi"/>
        </w:rPr>
      </w:pPr>
      <w:r w:rsidRPr="00867486">
        <w:rPr>
          <w:rFonts w:cstheme="minorHAnsi"/>
        </w:rPr>
        <w:t>Purpose of the</w:t>
      </w:r>
      <w:r w:rsidR="007D2B0C">
        <w:rPr>
          <w:rFonts w:cstheme="minorHAnsi"/>
        </w:rPr>
        <w:t xml:space="preserve"> strategy or</w:t>
      </w:r>
      <w:r w:rsidRPr="00867486">
        <w:rPr>
          <w:rFonts w:cstheme="minorHAnsi"/>
        </w:rPr>
        <w:t xml:space="preserve"> hedge;</w:t>
      </w:r>
    </w:p>
    <w:p w14:paraId="39E5C35D" w14:textId="66104E53" w:rsidR="00841E87" w:rsidRDefault="007D2B0C" w:rsidP="007C17D3">
      <w:pPr>
        <w:pStyle w:val="ListParagraph"/>
        <w:numPr>
          <w:ilvl w:val="2"/>
          <w:numId w:val="15"/>
        </w:numPr>
        <w:spacing w:before="120" w:after="120" w:line="240" w:lineRule="auto"/>
        <w:contextualSpacing w:val="0"/>
        <w:jc w:val="both"/>
        <w:rPr>
          <w:rFonts w:cstheme="minorHAnsi"/>
        </w:rPr>
      </w:pPr>
      <w:r>
        <w:rPr>
          <w:rFonts w:cstheme="minorHAnsi"/>
        </w:rPr>
        <w:t xml:space="preserve">Strategy or </w:t>
      </w:r>
      <w:r w:rsidR="00841E87" w:rsidRPr="00867486">
        <w:rPr>
          <w:rFonts w:cstheme="minorHAnsi"/>
        </w:rPr>
        <w:t>Hedge instruments to be used</w:t>
      </w:r>
      <w:r w:rsidR="00841E87">
        <w:rPr>
          <w:rFonts w:cstheme="minorHAnsi"/>
        </w:rPr>
        <w:t>;</w:t>
      </w:r>
    </w:p>
    <w:p w14:paraId="3E84A951" w14:textId="186E79B1" w:rsidR="00841E87" w:rsidRDefault="00841E87" w:rsidP="007C17D3">
      <w:pPr>
        <w:pStyle w:val="ListParagraph"/>
        <w:numPr>
          <w:ilvl w:val="2"/>
          <w:numId w:val="15"/>
        </w:numPr>
        <w:tabs>
          <w:tab w:val="num" w:pos="1800"/>
        </w:tabs>
        <w:spacing w:before="120" w:after="120" w:line="240" w:lineRule="auto"/>
        <w:contextualSpacing w:val="0"/>
        <w:jc w:val="both"/>
        <w:rPr>
          <w:rFonts w:cstheme="minorHAnsi"/>
        </w:rPr>
      </w:pPr>
      <w:r w:rsidRPr="00867486">
        <w:rPr>
          <w:rFonts w:cstheme="minorHAnsi"/>
        </w:rPr>
        <w:lastRenderedPageBreak/>
        <w:t xml:space="preserve">Duration of the </w:t>
      </w:r>
      <w:r w:rsidR="007D2B0C">
        <w:rPr>
          <w:rFonts w:cstheme="minorHAnsi"/>
        </w:rPr>
        <w:t xml:space="preserve">strategy or </w:t>
      </w:r>
      <w:r w:rsidRPr="00867486">
        <w:rPr>
          <w:rFonts w:cstheme="minorHAnsi"/>
        </w:rPr>
        <w:t>hedge;</w:t>
      </w:r>
      <w:r>
        <w:rPr>
          <w:rFonts w:cstheme="minorHAnsi"/>
        </w:rPr>
        <w:t xml:space="preserve"> and </w:t>
      </w:r>
    </w:p>
    <w:p w14:paraId="02605CCD" w14:textId="267C0EB3" w:rsidR="00841E87" w:rsidRPr="00867486" w:rsidRDefault="00841E87" w:rsidP="007C17D3">
      <w:pPr>
        <w:pStyle w:val="ListParagraph"/>
        <w:numPr>
          <w:ilvl w:val="2"/>
          <w:numId w:val="15"/>
        </w:numPr>
        <w:tabs>
          <w:tab w:val="num" w:pos="1800"/>
        </w:tabs>
        <w:spacing w:before="120" w:after="120" w:line="240" w:lineRule="auto"/>
        <w:contextualSpacing w:val="0"/>
        <w:jc w:val="both"/>
        <w:rPr>
          <w:rFonts w:cstheme="minorHAnsi"/>
        </w:rPr>
      </w:pPr>
      <w:r w:rsidRPr="00867486">
        <w:rPr>
          <w:rFonts w:cstheme="minorHAnsi"/>
        </w:rPr>
        <w:t>Desired results of the</w:t>
      </w:r>
      <w:r w:rsidR="007D2B0C">
        <w:rPr>
          <w:rFonts w:cstheme="minorHAnsi"/>
        </w:rPr>
        <w:t xml:space="preserve"> strategy or</w:t>
      </w:r>
      <w:r w:rsidRPr="00867486">
        <w:rPr>
          <w:rFonts w:cstheme="minorHAnsi"/>
        </w:rPr>
        <w:t xml:space="preserve"> hedge</w:t>
      </w:r>
      <w:r>
        <w:rPr>
          <w:rFonts w:cstheme="minorHAnsi"/>
        </w:rPr>
        <w:t>.</w:t>
      </w:r>
    </w:p>
    <w:p w14:paraId="45D4C5D1" w14:textId="77777777" w:rsidR="00841E87" w:rsidRDefault="00841E87" w:rsidP="007C17D3">
      <w:pPr>
        <w:pStyle w:val="ListParagraph"/>
        <w:numPr>
          <w:ilvl w:val="1"/>
          <w:numId w:val="15"/>
        </w:numPr>
        <w:spacing w:before="120" w:after="120" w:line="240" w:lineRule="auto"/>
        <w:contextualSpacing w:val="0"/>
        <w:jc w:val="both"/>
        <w:rPr>
          <w:rFonts w:cstheme="minorHAnsi"/>
        </w:rPr>
      </w:pPr>
      <w:r w:rsidRPr="00F720F4">
        <w:rPr>
          <w:rFonts w:cstheme="minorHAnsi"/>
        </w:rPr>
        <w:t>The IRC shall</w:t>
      </w:r>
    </w:p>
    <w:p w14:paraId="0EB5B640" w14:textId="2270D2EC" w:rsidR="00841E87" w:rsidRDefault="00841E87" w:rsidP="007C17D3">
      <w:pPr>
        <w:pStyle w:val="ListParagraph"/>
        <w:numPr>
          <w:ilvl w:val="2"/>
          <w:numId w:val="15"/>
        </w:numPr>
        <w:spacing w:before="120" w:after="120" w:line="240" w:lineRule="auto"/>
        <w:contextualSpacing w:val="0"/>
        <w:jc w:val="both"/>
        <w:rPr>
          <w:rFonts w:cstheme="minorHAnsi"/>
        </w:rPr>
      </w:pPr>
      <w:r>
        <w:rPr>
          <w:rFonts w:cstheme="minorHAnsi"/>
        </w:rPr>
        <w:t>D</w:t>
      </w:r>
      <w:r w:rsidRPr="00F720F4">
        <w:rPr>
          <w:rFonts w:cstheme="minorHAnsi"/>
        </w:rPr>
        <w:t xml:space="preserve">evelop the </w:t>
      </w:r>
      <w:r>
        <w:rPr>
          <w:rFonts w:cstheme="minorHAnsi"/>
        </w:rPr>
        <w:t xml:space="preserve">Risk Management Procedures for </w:t>
      </w:r>
      <w:r w:rsidRPr="00F720F4">
        <w:rPr>
          <w:rFonts w:cstheme="minorHAnsi"/>
        </w:rPr>
        <w:t xml:space="preserve">Business Operations, Energy and Financial Management </w:t>
      </w:r>
      <w:r>
        <w:rPr>
          <w:rFonts w:cstheme="minorHAnsi"/>
        </w:rPr>
        <w:t>activities</w:t>
      </w:r>
      <w:r w:rsidR="000F0213">
        <w:rPr>
          <w:rFonts w:cstheme="minorHAnsi"/>
        </w:rPr>
        <w:t>, which</w:t>
      </w:r>
      <w:r w:rsidRPr="00F720F4">
        <w:rPr>
          <w:rFonts w:cstheme="minorHAnsi"/>
        </w:rPr>
        <w:t xml:space="preserve"> shall specify the detailed procedures and reporting necessary to implement this </w:t>
      </w:r>
      <w:r w:rsidR="00B92CA2">
        <w:rPr>
          <w:rFonts w:cstheme="minorHAnsi"/>
        </w:rPr>
        <w:t xml:space="preserve">Enterprise </w:t>
      </w:r>
      <w:r>
        <w:rPr>
          <w:rFonts w:cstheme="minorHAnsi"/>
        </w:rPr>
        <w:t xml:space="preserve">Risk Management </w:t>
      </w:r>
      <w:r w:rsidRPr="00F720F4">
        <w:rPr>
          <w:rFonts w:cstheme="minorHAnsi"/>
        </w:rPr>
        <w:t>Policy</w:t>
      </w:r>
      <w:r>
        <w:rPr>
          <w:rFonts w:cstheme="minorHAnsi"/>
        </w:rPr>
        <w:t>;</w:t>
      </w:r>
    </w:p>
    <w:p w14:paraId="6C1D7F20" w14:textId="21D8367B" w:rsidR="00841E87" w:rsidRDefault="00841E87" w:rsidP="007C17D3">
      <w:pPr>
        <w:pStyle w:val="ListParagraph"/>
        <w:numPr>
          <w:ilvl w:val="2"/>
          <w:numId w:val="15"/>
        </w:numPr>
        <w:spacing w:before="120" w:after="120" w:line="240" w:lineRule="auto"/>
        <w:contextualSpacing w:val="0"/>
        <w:jc w:val="both"/>
        <w:rPr>
          <w:rFonts w:cstheme="minorHAnsi"/>
        </w:rPr>
      </w:pPr>
      <w:r w:rsidRPr="000F4B8B">
        <w:rPr>
          <w:rFonts w:cstheme="minorHAnsi"/>
        </w:rPr>
        <w:t xml:space="preserve">Maintain these </w:t>
      </w:r>
      <w:r>
        <w:rPr>
          <w:rFonts w:cstheme="minorHAnsi"/>
        </w:rPr>
        <w:t>Risk Management Procedures</w:t>
      </w:r>
      <w:r w:rsidRPr="000F4B8B">
        <w:rPr>
          <w:rFonts w:cstheme="minorHAnsi"/>
        </w:rPr>
        <w:t xml:space="preserve"> and recommend any revisions deemed necessary </w:t>
      </w:r>
      <w:r w:rsidR="00B6143D">
        <w:rPr>
          <w:rFonts w:cstheme="minorHAnsi"/>
        </w:rPr>
        <w:t xml:space="preserve">or appropriate </w:t>
      </w:r>
      <w:r w:rsidRPr="000F4B8B">
        <w:rPr>
          <w:rFonts w:cstheme="minorHAnsi"/>
        </w:rPr>
        <w:t>to the B</w:t>
      </w:r>
      <w:r>
        <w:rPr>
          <w:rFonts w:cstheme="minorHAnsi"/>
        </w:rPr>
        <w:t>ROC</w:t>
      </w:r>
      <w:r w:rsidRPr="000F4B8B">
        <w:rPr>
          <w:rFonts w:cstheme="minorHAnsi"/>
        </w:rPr>
        <w:t xml:space="preserve"> for approval;</w:t>
      </w:r>
    </w:p>
    <w:p w14:paraId="42A2F293" w14:textId="77777777" w:rsidR="00841E87" w:rsidRPr="000F4B8B" w:rsidRDefault="00841E87" w:rsidP="007C17D3">
      <w:pPr>
        <w:pStyle w:val="ListParagraph"/>
        <w:numPr>
          <w:ilvl w:val="2"/>
          <w:numId w:val="15"/>
        </w:numPr>
        <w:spacing w:before="120" w:after="120" w:line="240" w:lineRule="auto"/>
        <w:contextualSpacing w:val="0"/>
        <w:jc w:val="both"/>
        <w:rPr>
          <w:rFonts w:cstheme="minorHAnsi"/>
        </w:rPr>
      </w:pPr>
      <w:r>
        <w:rPr>
          <w:rFonts w:cstheme="minorHAnsi"/>
        </w:rPr>
        <w:t>Monitor</w:t>
      </w:r>
      <w:r w:rsidRPr="000F4B8B">
        <w:rPr>
          <w:rFonts w:cstheme="minorHAnsi"/>
        </w:rPr>
        <w:t xml:space="preserve"> staff and service provider compliance with the Risk Management </w:t>
      </w:r>
      <w:r>
        <w:rPr>
          <w:rFonts w:cstheme="minorHAnsi"/>
        </w:rPr>
        <w:t>Procedures;</w:t>
      </w:r>
    </w:p>
    <w:p w14:paraId="0040C64D" w14:textId="77777777" w:rsidR="00841E87" w:rsidRPr="00B51D2F" w:rsidRDefault="00841E87" w:rsidP="007C17D3">
      <w:pPr>
        <w:pStyle w:val="ListParagraph"/>
        <w:numPr>
          <w:ilvl w:val="2"/>
          <w:numId w:val="15"/>
        </w:numPr>
        <w:spacing w:before="120" w:after="120" w:line="240" w:lineRule="auto"/>
        <w:contextualSpacing w:val="0"/>
        <w:jc w:val="both"/>
        <w:rPr>
          <w:rFonts w:cstheme="minorHAnsi"/>
        </w:rPr>
      </w:pPr>
      <w:r>
        <w:rPr>
          <w:rFonts w:cstheme="minorHAnsi"/>
        </w:rPr>
        <w:t>A</w:t>
      </w:r>
      <w:r w:rsidRPr="00F720F4">
        <w:rPr>
          <w:rFonts w:cstheme="minorHAnsi"/>
        </w:rPr>
        <w:t>pprove all individuals authorized to execute trades</w:t>
      </w:r>
      <w:r>
        <w:rPr>
          <w:rFonts w:cstheme="minorHAnsi"/>
        </w:rPr>
        <w:t xml:space="preserve"> (</w:t>
      </w:r>
      <w:r w:rsidRPr="00F720F4">
        <w:rPr>
          <w:rFonts w:cstheme="minorHAnsi"/>
        </w:rPr>
        <w:t xml:space="preserve">At a minimum, the CEO and Vice </w:t>
      </w:r>
      <w:r w:rsidRPr="00B51D2F">
        <w:rPr>
          <w:rFonts w:cstheme="minorHAnsi"/>
        </w:rPr>
        <w:t>President of Market Analytics shall be authorized to execute trades.);</w:t>
      </w:r>
    </w:p>
    <w:p w14:paraId="500423BB" w14:textId="5B489C74" w:rsidR="00841E87" w:rsidRPr="00B51D2F" w:rsidRDefault="00841E87" w:rsidP="007C17D3">
      <w:pPr>
        <w:pStyle w:val="ListParagraph"/>
        <w:numPr>
          <w:ilvl w:val="2"/>
          <w:numId w:val="15"/>
        </w:numPr>
        <w:spacing w:before="120" w:after="120" w:line="240" w:lineRule="auto"/>
        <w:contextualSpacing w:val="0"/>
        <w:jc w:val="both"/>
        <w:rPr>
          <w:rFonts w:cstheme="minorHAnsi"/>
        </w:rPr>
      </w:pPr>
      <w:r w:rsidRPr="00B51D2F">
        <w:rPr>
          <w:rFonts w:cstheme="minorHAnsi"/>
        </w:rPr>
        <w:t xml:space="preserve">Approve all brokerage relationships and all ISDA </w:t>
      </w:r>
      <w:r w:rsidR="00444F59">
        <w:rPr>
          <w:rFonts w:cstheme="minorHAnsi"/>
        </w:rPr>
        <w:t xml:space="preserve">and EEI </w:t>
      </w:r>
      <w:r w:rsidRPr="00B51D2F">
        <w:rPr>
          <w:rFonts w:cstheme="minorHAnsi"/>
        </w:rPr>
        <w:t>agreements and any other contractual agreement relating to Energy activities;</w:t>
      </w:r>
    </w:p>
    <w:p w14:paraId="49DB99C5" w14:textId="77777777" w:rsidR="00841E87" w:rsidRPr="00B51D2F" w:rsidRDefault="00841E87" w:rsidP="007C17D3">
      <w:pPr>
        <w:pStyle w:val="ListParagraph"/>
        <w:numPr>
          <w:ilvl w:val="2"/>
          <w:numId w:val="15"/>
        </w:numPr>
        <w:spacing w:before="120" w:after="120" w:line="240" w:lineRule="auto"/>
        <w:contextualSpacing w:val="0"/>
        <w:jc w:val="both"/>
        <w:rPr>
          <w:rFonts w:cstheme="minorHAnsi"/>
        </w:rPr>
      </w:pPr>
      <w:r w:rsidRPr="00B51D2F">
        <w:rPr>
          <w:rFonts w:cstheme="minorHAnsi"/>
        </w:rPr>
        <w:t>Establish requirements to determine counterparty creditworthiness prior to any proposed OTC transaction;</w:t>
      </w:r>
    </w:p>
    <w:p w14:paraId="08A704D2" w14:textId="77777777" w:rsidR="00841E87" w:rsidRPr="00B51D2F" w:rsidRDefault="00841E87" w:rsidP="007C17D3">
      <w:pPr>
        <w:pStyle w:val="ListParagraph"/>
        <w:numPr>
          <w:ilvl w:val="2"/>
          <w:numId w:val="15"/>
        </w:numPr>
        <w:spacing w:before="120" w:after="120" w:line="240" w:lineRule="auto"/>
        <w:contextualSpacing w:val="0"/>
        <w:jc w:val="both"/>
        <w:rPr>
          <w:rFonts w:cstheme="minorHAnsi"/>
        </w:rPr>
      </w:pPr>
      <w:r w:rsidRPr="00B51D2F">
        <w:rPr>
          <w:rFonts w:cstheme="minorHAnsi"/>
        </w:rPr>
        <w:t>Review counterparties at periodic intervals to ensure they have maintained compliance with the requirements; and</w:t>
      </w:r>
    </w:p>
    <w:p w14:paraId="0A708F22" w14:textId="446E5600" w:rsidR="00841E87" w:rsidRPr="00B51D2F" w:rsidRDefault="00841E87" w:rsidP="007C17D3">
      <w:pPr>
        <w:pStyle w:val="ListParagraph"/>
        <w:numPr>
          <w:ilvl w:val="2"/>
          <w:numId w:val="15"/>
        </w:numPr>
        <w:spacing w:before="120" w:after="120" w:line="240" w:lineRule="auto"/>
        <w:contextualSpacing w:val="0"/>
        <w:jc w:val="both"/>
        <w:rPr>
          <w:rFonts w:cstheme="minorHAnsi"/>
        </w:rPr>
      </w:pPr>
      <w:r w:rsidRPr="00B51D2F">
        <w:rPr>
          <w:rFonts w:cstheme="minorHAnsi"/>
        </w:rPr>
        <w:t>Develop a detailed position reporting system to assess the performance of each executed</w:t>
      </w:r>
      <w:r w:rsidR="002F0CBF">
        <w:rPr>
          <w:rFonts w:cstheme="minorHAnsi"/>
        </w:rPr>
        <w:t xml:space="preserve"> </w:t>
      </w:r>
      <w:r w:rsidR="007D2B0C">
        <w:rPr>
          <w:rFonts w:cstheme="minorHAnsi"/>
        </w:rPr>
        <w:t xml:space="preserve">strategy or </w:t>
      </w:r>
      <w:r w:rsidR="002F0CBF">
        <w:rPr>
          <w:rFonts w:cstheme="minorHAnsi"/>
        </w:rPr>
        <w:t xml:space="preserve">hedge </w:t>
      </w:r>
      <w:r w:rsidRPr="00B51D2F">
        <w:rPr>
          <w:rFonts w:cstheme="minorHAnsi"/>
        </w:rPr>
        <w:t>recommendation relative to the approved objectives.</w:t>
      </w:r>
    </w:p>
    <w:p w14:paraId="1B2FD096" w14:textId="5575766D" w:rsidR="00841E87" w:rsidRPr="00B51D2F" w:rsidRDefault="00205957" w:rsidP="007C17D3">
      <w:pPr>
        <w:pStyle w:val="ListParagraph"/>
        <w:numPr>
          <w:ilvl w:val="1"/>
          <w:numId w:val="15"/>
        </w:numPr>
        <w:spacing w:before="120" w:after="120" w:line="240" w:lineRule="auto"/>
        <w:contextualSpacing w:val="0"/>
        <w:jc w:val="both"/>
        <w:rPr>
          <w:rFonts w:cstheme="minorHAnsi"/>
        </w:rPr>
      </w:pPr>
      <w:r>
        <w:rPr>
          <w:rFonts w:cstheme="minorHAnsi"/>
        </w:rPr>
        <w:t>Each</w:t>
      </w:r>
      <w:r w:rsidRPr="00B51D2F">
        <w:rPr>
          <w:rFonts w:cstheme="minorHAnsi"/>
        </w:rPr>
        <w:t xml:space="preserve"> </w:t>
      </w:r>
      <w:r w:rsidR="00841E87" w:rsidRPr="00B51D2F">
        <w:rPr>
          <w:rFonts w:cstheme="minorHAnsi"/>
        </w:rPr>
        <w:t xml:space="preserve">IRC member </w:t>
      </w:r>
      <w:r w:rsidR="00883E19">
        <w:rPr>
          <w:rFonts w:cstheme="minorHAnsi"/>
        </w:rPr>
        <w:t>is authorized</w:t>
      </w:r>
      <w:r w:rsidR="00841E87" w:rsidRPr="00B51D2F">
        <w:rPr>
          <w:rFonts w:cstheme="minorHAnsi"/>
        </w:rPr>
        <w:t xml:space="preserve"> to call committee meetings beyond those scheduled quarterly</w:t>
      </w:r>
      <w:r w:rsidR="00883E19">
        <w:rPr>
          <w:rFonts w:cstheme="minorHAnsi"/>
        </w:rPr>
        <w:t>,</w:t>
      </w:r>
      <w:r w:rsidR="00841E87" w:rsidRPr="00B51D2F">
        <w:rPr>
          <w:rFonts w:cstheme="minorHAnsi"/>
        </w:rPr>
        <w:t xml:space="preserve"> and each has responsibility to ensure that all activities are in accordance with the </w:t>
      </w:r>
      <w:r w:rsidR="003872B1">
        <w:rPr>
          <w:rFonts w:cstheme="minorHAnsi"/>
        </w:rPr>
        <w:t xml:space="preserve">Enterprise </w:t>
      </w:r>
      <w:r w:rsidR="00841E87" w:rsidRPr="00B51D2F">
        <w:rPr>
          <w:rFonts w:cstheme="minorHAnsi"/>
        </w:rPr>
        <w:t>Risk Management Policy.</w:t>
      </w:r>
    </w:p>
    <w:p w14:paraId="1461DE0A" w14:textId="7CFA8855" w:rsidR="00841E87" w:rsidRPr="00B51D2F" w:rsidRDefault="00841E87" w:rsidP="007C17D3">
      <w:pPr>
        <w:pStyle w:val="ListParagraph"/>
        <w:numPr>
          <w:ilvl w:val="1"/>
          <w:numId w:val="15"/>
        </w:numPr>
        <w:spacing w:before="120" w:after="120" w:line="240" w:lineRule="auto"/>
        <w:contextualSpacing w:val="0"/>
        <w:jc w:val="both"/>
        <w:rPr>
          <w:rFonts w:cstheme="minorHAnsi"/>
        </w:rPr>
      </w:pPr>
      <w:r w:rsidRPr="00B51D2F">
        <w:rPr>
          <w:rFonts w:cstheme="minorHAnsi"/>
        </w:rPr>
        <w:t xml:space="preserve">The </w:t>
      </w:r>
      <w:r w:rsidR="003872B1">
        <w:rPr>
          <w:rFonts w:cstheme="minorHAnsi"/>
        </w:rPr>
        <w:t>IRC</w:t>
      </w:r>
      <w:r w:rsidR="003872B1" w:rsidRPr="00B51D2F">
        <w:rPr>
          <w:rFonts w:cstheme="minorHAnsi"/>
        </w:rPr>
        <w:t xml:space="preserve"> </w:t>
      </w:r>
      <w:r w:rsidRPr="00B51D2F">
        <w:rPr>
          <w:rFonts w:cstheme="minorHAnsi"/>
        </w:rPr>
        <w:t xml:space="preserve">may meet in person, through telephone or electronic conference calls, and using electronic mail. The IRC will keep regular minutes and records of its meetings and actions. </w:t>
      </w:r>
    </w:p>
    <w:p w14:paraId="098FED6B" w14:textId="77777777" w:rsidR="00841E87" w:rsidRPr="00B51D2F" w:rsidRDefault="00841E87" w:rsidP="007C17D3">
      <w:pPr>
        <w:pStyle w:val="ListParagraph"/>
        <w:numPr>
          <w:ilvl w:val="1"/>
          <w:numId w:val="15"/>
        </w:numPr>
        <w:spacing w:before="120" w:after="120" w:line="240" w:lineRule="auto"/>
        <w:contextualSpacing w:val="0"/>
        <w:jc w:val="both"/>
        <w:rPr>
          <w:rFonts w:cstheme="minorHAnsi"/>
        </w:rPr>
      </w:pPr>
      <w:r w:rsidRPr="00B51D2F">
        <w:rPr>
          <w:rFonts w:cstheme="minorHAnsi"/>
        </w:rPr>
        <w:t>At any time, if any IRC member believes that the committee has failed to adequately address a situation in which the member believes price or credit speculation is taking place, that member will submit a written statement describing the concern to the Chairperson of the BROC.</w:t>
      </w:r>
    </w:p>
    <w:p w14:paraId="7193D5CB" w14:textId="77777777" w:rsidR="00841E87" w:rsidRPr="00B51D2F" w:rsidRDefault="00841E87" w:rsidP="00841E87">
      <w:pPr>
        <w:rPr>
          <w:rFonts w:cstheme="minorHAnsi"/>
          <w:b/>
        </w:rPr>
      </w:pPr>
      <w:r w:rsidRPr="00B51D2F">
        <w:rPr>
          <w:rFonts w:cstheme="minorHAnsi"/>
          <w:b/>
        </w:rPr>
        <w:br w:type="page"/>
      </w:r>
    </w:p>
    <w:p w14:paraId="4BC815D4" w14:textId="4FD10C29" w:rsidR="007033CD" w:rsidRDefault="007033CD" w:rsidP="007033CD">
      <w:pPr>
        <w:pStyle w:val="Heading1"/>
      </w:pPr>
      <w:bookmarkStart w:id="11" w:name="_Toc8811580"/>
      <w:r>
        <w:lastRenderedPageBreak/>
        <w:t>SECTION 1.</w:t>
      </w:r>
      <w:r w:rsidR="00393BBA">
        <w:t>6</w:t>
      </w:r>
      <w:bookmarkEnd w:id="11"/>
    </w:p>
    <w:p w14:paraId="55FA3C55" w14:textId="2B764206" w:rsidR="007033CD" w:rsidRDefault="007033CD" w:rsidP="007033CD">
      <w:pPr>
        <w:pStyle w:val="Heading3"/>
      </w:pPr>
      <w:bookmarkStart w:id="12" w:name="_Toc8811581"/>
      <w:r>
        <w:t>Business Operations risk management policy</w:t>
      </w:r>
      <w:bookmarkEnd w:id="12"/>
    </w:p>
    <w:p w14:paraId="27774019" w14:textId="7721E572" w:rsidR="00841E87" w:rsidRPr="00B51D2F" w:rsidRDefault="00841E87" w:rsidP="007C17D3">
      <w:pPr>
        <w:pStyle w:val="ListParagraph"/>
        <w:widowControl w:val="0"/>
        <w:numPr>
          <w:ilvl w:val="0"/>
          <w:numId w:val="19"/>
        </w:numPr>
        <w:autoSpaceDE w:val="0"/>
        <w:autoSpaceDN w:val="0"/>
        <w:spacing w:before="120" w:after="120" w:line="240" w:lineRule="auto"/>
        <w:contextualSpacing w:val="0"/>
        <w:jc w:val="both"/>
        <w:rPr>
          <w:rFonts w:cstheme="minorHAnsi"/>
        </w:rPr>
      </w:pPr>
      <w:r w:rsidRPr="00B51D2F">
        <w:rPr>
          <w:rFonts w:cstheme="minorHAnsi"/>
        </w:rPr>
        <w:t>Operational risk will be managed by;</w:t>
      </w:r>
    </w:p>
    <w:p w14:paraId="24E2CF8F" w14:textId="57E61A9C"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t xml:space="preserve">Recruiting and hiring of qualified individuals for each of the </w:t>
      </w:r>
      <w:r w:rsidR="002F0CBF">
        <w:rPr>
          <w:rFonts w:cstheme="minorHAnsi"/>
        </w:rPr>
        <w:t>s</w:t>
      </w:r>
      <w:r w:rsidRPr="00B51D2F">
        <w:rPr>
          <w:rFonts w:cstheme="minorHAnsi"/>
        </w:rPr>
        <w:t>taffing positions authorized by the KYMEA Board</w:t>
      </w:r>
    </w:p>
    <w:p w14:paraId="2C415793" w14:textId="77777777" w:rsidR="00841E87" w:rsidRPr="00B51D2F" w:rsidRDefault="00841E87" w:rsidP="007C17D3">
      <w:pPr>
        <w:pStyle w:val="ListParagraph"/>
        <w:widowControl w:val="0"/>
        <w:numPr>
          <w:ilvl w:val="3"/>
          <w:numId w:val="15"/>
        </w:numPr>
        <w:autoSpaceDE w:val="0"/>
        <w:autoSpaceDN w:val="0"/>
        <w:spacing w:before="120" w:after="120" w:line="240" w:lineRule="auto"/>
        <w:contextualSpacing w:val="0"/>
        <w:jc w:val="both"/>
        <w:rPr>
          <w:rFonts w:cstheme="minorHAnsi"/>
        </w:rPr>
      </w:pPr>
      <w:r w:rsidRPr="00B51D2F">
        <w:rPr>
          <w:rFonts w:cstheme="minorHAnsi"/>
        </w:rPr>
        <w:t xml:space="preserve">CEO will provide organizational recommendations, staffing recommendations and detailed job descriptions for critical positions to the Board for authorization </w:t>
      </w:r>
    </w:p>
    <w:p w14:paraId="61C965D6" w14:textId="77777777" w:rsidR="00841E87" w:rsidRPr="00B51D2F" w:rsidRDefault="00841E87" w:rsidP="007C17D3">
      <w:pPr>
        <w:pStyle w:val="ListParagraph"/>
        <w:widowControl w:val="0"/>
        <w:numPr>
          <w:ilvl w:val="3"/>
          <w:numId w:val="15"/>
        </w:numPr>
        <w:autoSpaceDE w:val="0"/>
        <w:autoSpaceDN w:val="0"/>
        <w:spacing w:before="120" w:after="120" w:line="240" w:lineRule="auto"/>
        <w:contextualSpacing w:val="0"/>
        <w:jc w:val="both"/>
        <w:rPr>
          <w:rFonts w:cstheme="minorHAnsi"/>
        </w:rPr>
      </w:pPr>
      <w:r w:rsidRPr="00B51D2F">
        <w:rPr>
          <w:rFonts w:cstheme="minorHAnsi"/>
        </w:rPr>
        <w:t>Background checks, drug testing, and safety procedures will be established and outlined in the Business Operations Risk Procedures</w:t>
      </w:r>
    </w:p>
    <w:p w14:paraId="0654AEDE" w14:textId="557D3DD3" w:rsidR="00841E87" w:rsidRPr="00B51D2F" w:rsidRDefault="0090665B" w:rsidP="007C17D3">
      <w:pPr>
        <w:pStyle w:val="ListParagraph"/>
        <w:widowControl w:val="0"/>
        <w:numPr>
          <w:ilvl w:val="3"/>
          <w:numId w:val="15"/>
        </w:numPr>
        <w:autoSpaceDE w:val="0"/>
        <w:autoSpaceDN w:val="0"/>
        <w:spacing w:before="120" w:after="120" w:line="240" w:lineRule="auto"/>
        <w:contextualSpacing w:val="0"/>
        <w:jc w:val="both"/>
        <w:rPr>
          <w:rFonts w:cstheme="minorHAnsi"/>
        </w:rPr>
      </w:pPr>
      <w:r>
        <w:rPr>
          <w:rFonts w:cstheme="minorHAnsi"/>
        </w:rPr>
        <w:t>R</w:t>
      </w:r>
      <w:r w:rsidR="00841E87" w:rsidRPr="00B51D2F">
        <w:rPr>
          <w:rFonts w:cstheme="minorHAnsi"/>
        </w:rPr>
        <w:t xml:space="preserve">ecruiters for critical management positions </w:t>
      </w:r>
      <w:r>
        <w:rPr>
          <w:rFonts w:cstheme="minorHAnsi"/>
        </w:rPr>
        <w:t xml:space="preserve">may be used </w:t>
      </w:r>
      <w:r w:rsidR="00841E87" w:rsidRPr="00B51D2F">
        <w:rPr>
          <w:rFonts w:cstheme="minorHAnsi"/>
        </w:rPr>
        <w:t xml:space="preserve">when </w:t>
      </w:r>
      <w:r>
        <w:rPr>
          <w:rFonts w:cstheme="minorHAnsi"/>
        </w:rPr>
        <w:t>appropriate</w:t>
      </w:r>
    </w:p>
    <w:p w14:paraId="79C5323E" w14:textId="66DE86FF"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t xml:space="preserve">KYMEA will designate Authorized Persons, </w:t>
      </w:r>
      <w:r w:rsidRPr="00B51D2F">
        <w:t xml:space="preserve">persons authorized to </w:t>
      </w:r>
      <w:r w:rsidR="0038215F">
        <w:t>disburse funds</w:t>
      </w:r>
      <w:r w:rsidRPr="00B51D2F">
        <w:t>, negotiate loans, and deposit funds</w:t>
      </w:r>
    </w:p>
    <w:p w14:paraId="1D256C30" w14:textId="77777777"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t>KYMEA has adopted and will operate its procurement functions consistent with the provisions of KRS Sections 45A.345 to 45A.460 of the Kentucky Model Procurement Code for the purpose of providing KYMEA with rules, guidelines and provisions for the procurement of goods and services</w:t>
      </w:r>
    </w:p>
    <w:p w14:paraId="3FB42410" w14:textId="77777777" w:rsidR="00841E87" w:rsidRPr="00B51D2F" w:rsidRDefault="00841E87" w:rsidP="007C17D3">
      <w:pPr>
        <w:pStyle w:val="ListParagraph"/>
        <w:widowControl w:val="0"/>
        <w:numPr>
          <w:ilvl w:val="3"/>
          <w:numId w:val="15"/>
        </w:numPr>
        <w:autoSpaceDE w:val="0"/>
        <w:autoSpaceDN w:val="0"/>
        <w:spacing w:before="120" w:after="120" w:line="240" w:lineRule="auto"/>
        <w:contextualSpacing w:val="0"/>
        <w:jc w:val="both"/>
        <w:rPr>
          <w:rFonts w:cstheme="minorHAnsi"/>
        </w:rPr>
      </w:pPr>
      <w:r w:rsidRPr="00B51D2F">
        <w:t>CEO will be responsible for maintaining compliance with the Kentucky Model Procurement Code</w:t>
      </w:r>
    </w:p>
    <w:p w14:paraId="7CD83D3F" w14:textId="77777777" w:rsidR="00841E87" w:rsidRPr="00B51D2F" w:rsidRDefault="00841E87" w:rsidP="007C17D3">
      <w:pPr>
        <w:pStyle w:val="ListParagraph"/>
        <w:widowControl w:val="0"/>
        <w:numPr>
          <w:ilvl w:val="3"/>
          <w:numId w:val="15"/>
        </w:numPr>
        <w:autoSpaceDE w:val="0"/>
        <w:autoSpaceDN w:val="0"/>
        <w:spacing w:before="120" w:after="120" w:line="240" w:lineRule="auto"/>
        <w:contextualSpacing w:val="0"/>
        <w:jc w:val="both"/>
        <w:rPr>
          <w:rFonts w:cstheme="minorHAnsi"/>
        </w:rPr>
      </w:pPr>
      <w:r w:rsidRPr="00B51D2F">
        <w:t>Specific procurement processes and procedures will be documented in the Business Operations Procedures and will be periodically reviewed by outside counsel and specifically reviewed prior to initiating major procurement activities (RFP’s)</w:t>
      </w:r>
    </w:p>
    <w:p w14:paraId="0EB28603" w14:textId="43DF301C"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t xml:space="preserve">The periodic review and refinement of Business </w:t>
      </w:r>
      <w:r w:rsidR="00A80E61">
        <w:rPr>
          <w:rFonts w:cstheme="minorHAnsi"/>
        </w:rPr>
        <w:t>Operations</w:t>
      </w:r>
      <w:r w:rsidRPr="00B51D2F">
        <w:rPr>
          <w:rFonts w:cstheme="minorHAnsi"/>
        </w:rPr>
        <w:t>, Energy, and Financial Procedures and their included reporting functions</w:t>
      </w:r>
    </w:p>
    <w:p w14:paraId="71CBD8C2" w14:textId="5B2922CC"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t xml:space="preserve">The use of </w:t>
      </w:r>
      <w:r w:rsidR="00946F44" w:rsidRPr="00B51D2F">
        <w:rPr>
          <w:rFonts w:cstheme="minorHAnsi"/>
        </w:rPr>
        <w:t>third-party</w:t>
      </w:r>
      <w:r w:rsidRPr="00B51D2F">
        <w:rPr>
          <w:rFonts w:cstheme="minorHAnsi"/>
        </w:rPr>
        <w:t xml:space="preserve"> review of business operations</w:t>
      </w:r>
      <w:r w:rsidR="007254DD">
        <w:rPr>
          <w:rFonts w:cstheme="minorHAnsi"/>
        </w:rPr>
        <w:t>,</w:t>
      </w:r>
      <w:r w:rsidRPr="00B51D2F">
        <w:rPr>
          <w:rFonts w:cstheme="minorHAnsi"/>
        </w:rPr>
        <w:t xml:space="preserve"> including but not limited to municipal financial advisors, external auditors, and other applicable independent </w:t>
      </w:r>
      <w:r w:rsidR="00946F44" w:rsidRPr="00B51D2F">
        <w:rPr>
          <w:rFonts w:cstheme="minorHAnsi"/>
        </w:rPr>
        <w:t>third-party</w:t>
      </w:r>
      <w:r w:rsidRPr="00B51D2F">
        <w:rPr>
          <w:rFonts w:cstheme="minorHAnsi"/>
        </w:rPr>
        <w:t xml:space="preserve"> service providers</w:t>
      </w:r>
    </w:p>
    <w:p w14:paraId="3447891B" w14:textId="31156698" w:rsidR="00841E87" w:rsidRPr="00B51D2F" w:rsidRDefault="00841E87" w:rsidP="007C17D3">
      <w:pPr>
        <w:pStyle w:val="ListParagraph"/>
        <w:widowControl w:val="0"/>
        <w:numPr>
          <w:ilvl w:val="0"/>
          <w:numId w:val="19"/>
        </w:numPr>
        <w:autoSpaceDE w:val="0"/>
        <w:autoSpaceDN w:val="0"/>
        <w:spacing w:before="120" w:after="120" w:line="240" w:lineRule="auto"/>
        <w:contextualSpacing w:val="0"/>
        <w:jc w:val="both"/>
        <w:rPr>
          <w:rFonts w:cstheme="minorHAnsi"/>
        </w:rPr>
      </w:pPr>
      <w:r w:rsidRPr="00B51D2F">
        <w:rPr>
          <w:rFonts w:cstheme="minorHAnsi"/>
        </w:rPr>
        <w:t xml:space="preserve">Counterparty performance risks will be managed according to the Energy Risk Management Procedures and supporting Energy Service Provider’s trading control procedures. </w:t>
      </w:r>
    </w:p>
    <w:p w14:paraId="3763A9C0" w14:textId="77777777" w:rsidR="00841E87" w:rsidRPr="00B51D2F" w:rsidRDefault="00841E87" w:rsidP="007C17D3">
      <w:pPr>
        <w:pStyle w:val="ListParagraph"/>
        <w:widowControl w:val="0"/>
        <w:numPr>
          <w:ilvl w:val="0"/>
          <w:numId w:val="19"/>
        </w:numPr>
        <w:autoSpaceDE w:val="0"/>
        <w:autoSpaceDN w:val="0"/>
        <w:spacing w:before="120" w:after="120" w:line="240" w:lineRule="auto"/>
        <w:contextualSpacing w:val="0"/>
        <w:jc w:val="both"/>
        <w:rPr>
          <w:rFonts w:cstheme="minorHAnsi"/>
        </w:rPr>
      </w:pPr>
      <w:r w:rsidRPr="00B51D2F">
        <w:rPr>
          <w:rFonts w:cstheme="minorHAnsi"/>
        </w:rPr>
        <w:t>Facility o</w:t>
      </w:r>
      <w:r w:rsidRPr="00B51D2F">
        <w:rPr>
          <w:rFonts w:cstheme="minorHAnsi"/>
          <w:bCs/>
        </w:rPr>
        <w:t xml:space="preserve">perations risk </w:t>
      </w:r>
      <w:r w:rsidRPr="00B51D2F">
        <w:rPr>
          <w:rFonts w:cstheme="minorHAnsi"/>
        </w:rPr>
        <w:t xml:space="preserve">will be managed as follows; </w:t>
      </w:r>
    </w:p>
    <w:p w14:paraId="0573F588" w14:textId="77777777"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t xml:space="preserve">Generation risk will be managed consistent with the Forced Outage and </w:t>
      </w:r>
      <w:proofErr w:type="spellStart"/>
      <w:r w:rsidRPr="00B51D2F">
        <w:rPr>
          <w:rFonts w:cstheme="minorHAnsi"/>
        </w:rPr>
        <w:t>Derate</w:t>
      </w:r>
      <w:proofErr w:type="spellEnd"/>
      <w:r w:rsidRPr="00B51D2F">
        <w:rPr>
          <w:rFonts w:cstheme="minorHAnsi"/>
        </w:rPr>
        <w:t xml:space="preserve"> risk management provisions outlined in the Energy Risk Policy</w:t>
      </w:r>
    </w:p>
    <w:p w14:paraId="4C9F2085" w14:textId="0488424E"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lastRenderedPageBreak/>
        <w:t xml:space="preserve">Transmission risk will be managed consistent with the </w:t>
      </w:r>
      <w:r w:rsidR="00E35A4F">
        <w:rPr>
          <w:rFonts w:cstheme="minorHAnsi"/>
        </w:rPr>
        <w:t xml:space="preserve">standards of </w:t>
      </w:r>
      <w:r w:rsidR="002F0CBF">
        <w:rPr>
          <w:rFonts w:cstheme="minorHAnsi"/>
        </w:rPr>
        <w:t>KYMEA’s</w:t>
      </w:r>
      <w:r w:rsidRPr="00B51D2F">
        <w:rPr>
          <w:rFonts w:cstheme="minorHAnsi"/>
        </w:rPr>
        <w:t xml:space="preserve"> transmission service provider</w:t>
      </w:r>
      <w:r w:rsidR="00F4049B">
        <w:rPr>
          <w:rFonts w:cstheme="minorHAnsi"/>
        </w:rPr>
        <w:t>s</w:t>
      </w:r>
      <w:r w:rsidRPr="00B51D2F">
        <w:rPr>
          <w:rFonts w:cstheme="minorHAnsi"/>
        </w:rPr>
        <w:t xml:space="preserve"> and regulated market requirements</w:t>
      </w:r>
    </w:p>
    <w:p w14:paraId="0FAF7E6A" w14:textId="2E1BBD70" w:rsidR="00841E87" w:rsidRPr="00B51D2F" w:rsidRDefault="00841E87" w:rsidP="007C17D3">
      <w:pPr>
        <w:pStyle w:val="ListParagraph"/>
        <w:widowControl w:val="0"/>
        <w:numPr>
          <w:ilvl w:val="2"/>
          <w:numId w:val="15"/>
        </w:numPr>
        <w:autoSpaceDE w:val="0"/>
        <w:autoSpaceDN w:val="0"/>
        <w:spacing w:before="120" w:after="120" w:line="240" w:lineRule="auto"/>
        <w:contextualSpacing w:val="0"/>
        <w:jc w:val="both"/>
        <w:rPr>
          <w:rFonts w:cstheme="minorHAnsi"/>
        </w:rPr>
      </w:pPr>
      <w:r w:rsidRPr="00B51D2F">
        <w:rPr>
          <w:rFonts w:cstheme="minorHAnsi"/>
        </w:rPr>
        <w:t xml:space="preserve">Distribution level risk will be managed by </w:t>
      </w:r>
      <w:r w:rsidR="00F4049B">
        <w:rPr>
          <w:rFonts w:cstheme="minorHAnsi"/>
        </w:rPr>
        <w:t>each</w:t>
      </w:r>
      <w:r w:rsidR="00F4049B" w:rsidRPr="00B51D2F">
        <w:rPr>
          <w:rFonts w:cstheme="minorHAnsi"/>
        </w:rPr>
        <w:t xml:space="preserve"> </w:t>
      </w:r>
      <w:r w:rsidRPr="00B51D2F">
        <w:rPr>
          <w:rFonts w:cstheme="minorHAnsi"/>
        </w:rPr>
        <w:t xml:space="preserve">Member for </w:t>
      </w:r>
      <w:r w:rsidR="00F4049B">
        <w:rPr>
          <w:rFonts w:cstheme="minorHAnsi"/>
        </w:rPr>
        <w:t>its</w:t>
      </w:r>
      <w:r w:rsidR="00F4049B" w:rsidRPr="00B51D2F">
        <w:rPr>
          <w:rFonts w:cstheme="minorHAnsi"/>
        </w:rPr>
        <w:t xml:space="preserve"> </w:t>
      </w:r>
      <w:r w:rsidRPr="00B51D2F">
        <w:rPr>
          <w:rFonts w:cstheme="minorHAnsi"/>
        </w:rPr>
        <w:t>own system</w:t>
      </w:r>
    </w:p>
    <w:p w14:paraId="5A9151CB" w14:textId="77777777" w:rsidR="00841E87" w:rsidRPr="00B51D2F" w:rsidRDefault="00841E87" w:rsidP="007C17D3">
      <w:pPr>
        <w:pStyle w:val="ListParagraph"/>
        <w:widowControl w:val="0"/>
        <w:numPr>
          <w:ilvl w:val="3"/>
          <w:numId w:val="15"/>
        </w:numPr>
        <w:autoSpaceDE w:val="0"/>
        <w:autoSpaceDN w:val="0"/>
        <w:spacing w:before="120" w:after="120" w:line="240" w:lineRule="auto"/>
        <w:contextualSpacing w:val="0"/>
        <w:jc w:val="both"/>
        <w:rPr>
          <w:rFonts w:cstheme="minorHAnsi"/>
        </w:rPr>
      </w:pPr>
      <w:r w:rsidRPr="00B51D2F">
        <w:rPr>
          <w:rFonts w:cstheme="minorHAnsi"/>
        </w:rPr>
        <w:t>KYMEA will assist with the review of standards, inspections, and procurement when requested by a Member and when opportunities for economy of scale can be achieved.</w:t>
      </w:r>
    </w:p>
    <w:p w14:paraId="13FBB5CF" w14:textId="77777777" w:rsidR="00841E87" w:rsidRPr="00B51D2F" w:rsidRDefault="00841E87" w:rsidP="007C17D3">
      <w:pPr>
        <w:pStyle w:val="ListParagraph"/>
        <w:widowControl w:val="0"/>
        <w:numPr>
          <w:ilvl w:val="0"/>
          <w:numId w:val="19"/>
        </w:numPr>
        <w:autoSpaceDE w:val="0"/>
        <w:autoSpaceDN w:val="0"/>
        <w:spacing w:before="120" w:after="120" w:line="240" w:lineRule="auto"/>
        <w:contextualSpacing w:val="0"/>
        <w:jc w:val="both"/>
        <w:rPr>
          <w:rFonts w:cstheme="minorHAnsi"/>
        </w:rPr>
      </w:pPr>
      <w:r w:rsidRPr="00B51D2F">
        <w:rPr>
          <w:rFonts w:cstheme="minorHAnsi"/>
        </w:rPr>
        <w:t>Physical and cyber security risks will be managed as follows;</w:t>
      </w:r>
    </w:p>
    <w:p w14:paraId="3A7A909B" w14:textId="77777777" w:rsidR="00841E87" w:rsidRPr="00B51D2F" w:rsidRDefault="00841E87" w:rsidP="007C17D3">
      <w:pPr>
        <w:pStyle w:val="ListParagraph"/>
        <w:widowControl w:val="0"/>
        <w:numPr>
          <w:ilvl w:val="0"/>
          <w:numId w:val="20"/>
        </w:numPr>
        <w:autoSpaceDE w:val="0"/>
        <w:autoSpaceDN w:val="0"/>
        <w:spacing w:before="120" w:after="120" w:line="240" w:lineRule="auto"/>
        <w:contextualSpacing w:val="0"/>
        <w:jc w:val="both"/>
        <w:rPr>
          <w:rFonts w:cstheme="minorHAnsi"/>
        </w:rPr>
      </w:pPr>
      <w:r w:rsidRPr="00B51D2F">
        <w:rPr>
          <w:rFonts w:cstheme="minorHAnsi"/>
        </w:rPr>
        <w:t>Physical security will be address through coordination with local law enforcement and fire prevention authorities</w:t>
      </w:r>
    </w:p>
    <w:p w14:paraId="0B0A4BF3" w14:textId="77777777" w:rsidR="00841E87" w:rsidRPr="00B51D2F" w:rsidRDefault="00841E87" w:rsidP="007C17D3">
      <w:pPr>
        <w:pStyle w:val="ListParagraph"/>
        <w:widowControl w:val="0"/>
        <w:numPr>
          <w:ilvl w:val="0"/>
          <w:numId w:val="20"/>
        </w:numPr>
        <w:autoSpaceDE w:val="0"/>
        <w:autoSpaceDN w:val="0"/>
        <w:spacing w:before="120" w:after="120" w:line="240" w:lineRule="auto"/>
        <w:contextualSpacing w:val="0"/>
        <w:jc w:val="both"/>
        <w:rPr>
          <w:rFonts w:cstheme="minorHAnsi"/>
        </w:rPr>
      </w:pPr>
      <w:r w:rsidRPr="00B51D2F">
        <w:rPr>
          <w:rFonts w:cstheme="minorHAnsi"/>
        </w:rPr>
        <w:t xml:space="preserve">KYMEA will utilize industry standard alarm, monitoring, surveillance and key control systems to protect critical physical facilities and their contents </w:t>
      </w:r>
    </w:p>
    <w:p w14:paraId="25106140" w14:textId="77777777" w:rsidR="00841E87" w:rsidRPr="00B51D2F" w:rsidRDefault="00841E87" w:rsidP="007C17D3">
      <w:pPr>
        <w:pStyle w:val="ListParagraph"/>
        <w:widowControl w:val="0"/>
        <w:numPr>
          <w:ilvl w:val="0"/>
          <w:numId w:val="20"/>
        </w:numPr>
        <w:autoSpaceDE w:val="0"/>
        <w:autoSpaceDN w:val="0"/>
        <w:spacing w:before="120" w:after="120" w:line="240" w:lineRule="auto"/>
        <w:contextualSpacing w:val="0"/>
        <w:jc w:val="both"/>
        <w:rPr>
          <w:rFonts w:cstheme="minorHAnsi"/>
        </w:rPr>
      </w:pPr>
      <w:r w:rsidRPr="00B51D2F">
        <w:rPr>
          <w:rFonts w:cstheme="minorHAnsi"/>
        </w:rPr>
        <w:t>KYMEA will utilize password protection, multiple and remote backup of computer systems and data consistent with industry standard practices</w:t>
      </w:r>
    </w:p>
    <w:p w14:paraId="006FA208" w14:textId="3D6E0168" w:rsidR="00841E87" w:rsidRPr="00B51D2F" w:rsidRDefault="00841E87" w:rsidP="007C17D3">
      <w:pPr>
        <w:pStyle w:val="ListParagraph"/>
        <w:widowControl w:val="0"/>
        <w:numPr>
          <w:ilvl w:val="0"/>
          <w:numId w:val="22"/>
        </w:numPr>
        <w:autoSpaceDE w:val="0"/>
        <w:autoSpaceDN w:val="0"/>
        <w:spacing w:before="120" w:after="120" w:line="240" w:lineRule="auto"/>
        <w:contextualSpacing w:val="0"/>
        <w:jc w:val="both"/>
        <w:rPr>
          <w:rFonts w:cstheme="minorHAnsi"/>
        </w:rPr>
      </w:pPr>
      <w:r w:rsidRPr="00B51D2F">
        <w:rPr>
          <w:rFonts w:cstheme="minorHAnsi"/>
        </w:rPr>
        <w:t xml:space="preserve">KYMEA will utilize remote </w:t>
      </w:r>
      <w:r w:rsidR="00946F44" w:rsidRPr="00B51D2F">
        <w:rPr>
          <w:rFonts w:cstheme="minorHAnsi"/>
        </w:rPr>
        <w:t>off-site</w:t>
      </w:r>
      <w:r w:rsidRPr="00B51D2F">
        <w:rPr>
          <w:rFonts w:cstheme="minorHAnsi"/>
        </w:rPr>
        <w:t xml:space="preserve"> Microsoft Office 365 or equivalent security protection and will investigate</w:t>
      </w:r>
      <w:r w:rsidR="009F2DC8">
        <w:rPr>
          <w:rFonts w:cstheme="minorHAnsi"/>
        </w:rPr>
        <w:t xml:space="preserve"> the use of</w:t>
      </w:r>
      <w:r w:rsidRPr="00B51D2F">
        <w:rPr>
          <w:rFonts w:cstheme="minorHAnsi"/>
        </w:rPr>
        <w:t xml:space="preserve"> additional </w:t>
      </w:r>
      <w:proofErr w:type="gramStart"/>
      <w:r w:rsidRPr="00B51D2F">
        <w:rPr>
          <w:rFonts w:cstheme="minorHAnsi"/>
        </w:rPr>
        <w:t>third party</w:t>
      </w:r>
      <w:proofErr w:type="gramEnd"/>
      <w:r w:rsidRPr="00B51D2F">
        <w:rPr>
          <w:rFonts w:cstheme="minorHAnsi"/>
        </w:rPr>
        <w:t xml:space="preserve"> data backup where appropriate</w:t>
      </w:r>
    </w:p>
    <w:p w14:paraId="55A7AED9" w14:textId="77777777" w:rsidR="00841E87" w:rsidRPr="00B51D2F" w:rsidRDefault="00841E87" w:rsidP="007C17D3">
      <w:pPr>
        <w:pStyle w:val="ListParagraph"/>
        <w:widowControl w:val="0"/>
        <w:numPr>
          <w:ilvl w:val="0"/>
          <w:numId w:val="22"/>
        </w:numPr>
        <w:autoSpaceDE w:val="0"/>
        <w:autoSpaceDN w:val="0"/>
        <w:spacing w:before="120" w:after="120" w:line="240" w:lineRule="auto"/>
        <w:contextualSpacing w:val="0"/>
        <w:jc w:val="both"/>
        <w:rPr>
          <w:rFonts w:cstheme="minorHAnsi"/>
        </w:rPr>
      </w:pPr>
      <w:r w:rsidRPr="00B51D2F">
        <w:rPr>
          <w:rFonts w:cstheme="minorHAnsi"/>
        </w:rPr>
        <w:t>KYMEA will install and utilize malware protection software on all computer systems including portable laptops and mobile devices</w:t>
      </w:r>
    </w:p>
    <w:p w14:paraId="1CEB9F8A" w14:textId="77777777" w:rsidR="00841E87" w:rsidRPr="00B51D2F" w:rsidRDefault="00841E87" w:rsidP="007C17D3">
      <w:pPr>
        <w:pStyle w:val="ListParagraph"/>
        <w:widowControl w:val="0"/>
        <w:numPr>
          <w:ilvl w:val="0"/>
          <w:numId w:val="20"/>
        </w:numPr>
        <w:autoSpaceDE w:val="0"/>
        <w:autoSpaceDN w:val="0"/>
        <w:spacing w:before="120" w:after="120" w:line="240" w:lineRule="auto"/>
        <w:contextualSpacing w:val="0"/>
        <w:jc w:val="both"/>
        <w:rPr>
          <w:rFonts w:cstheme="minorHAnsi"/>
        </w:rPr>
      </w:pPr>
      <w:r w:rsidRPr="00B51D2F">
        <w:rPr>
          <w:rFonts w:cstheme="minorHAnsi"/>
        </w:rPr>
        <w:t>Additional processes and procedures will be outlined in the Business Operations Procedures as required</w:t>
      </w:r>
    </w:p>
    <w:p w14:paraId="165434DF" w14:textId="77777777" w:rsidR="00841E87" w:rsidRPr="00B51D2F" w:rsidRDefault="00841E87" w:rsidP="007C17D3">
      <w:pPr>
        <w:pStyle w:val="ListParagraph"/>
        <w:widowControl w:val="0"/>
        <w:numPr>
          <w:ilvl w:val="0"/>
          <w:numId w:val="19"/>
        </w:numPr>
        <w:autoSpaceDE w:val="0"/>
        <w:autoSpaceDN w:val="0"/>
        <w:spacing w:before="120" w:after="120" w:line="240" w:lineRule="auto"/>
        <w:contextualSpacing w:val="0"/>
        <w:jc w:val="both"/>
        <w:rPr>
          <w:rFonts w:cstheme="minorHAnsi"/>
        </w:rPr>
      </w:pPr>
      <w:r w:rsidRPr="00B51D2F">
        <w:rPr>
          <w:rFonts w:cstheme="minorHAnsi"/>
        </w:rPr>
        <w:t>Business interruption risk will be managed as follows;</w:t>
      </w:r>
    </w:p>
    <w:p w14:paraId="377D0A48" w14:textId="77777777" w:rsidR="00841E87" w:rsidRPr="00B51D2F" w:rsidRDefault="00841E87" w:rsidP="007C17D3">
      <w:pPr>
        <w:pStyle w:val="ListParagraph"/>
        <w:widowControl w:val="0"/>
        <w:numPr>
          <w:ilvl w:val="0"/>
          <w:numId w:val="21"/>
        </w:numPr>
        <w:autoSpaceDE w:val="0"/>
        <w:autoSpaceDN w:val="0"/>
        <w:spacing w:before="120" w:after="120" w:line="240" w:lineRule="auto"/>
        <w:contextualSpacing w:val="0"/>
        <w:jc w:val="both"/>
        <w:rPr>
          <w:rFonts w:cstheme="minorHAnsi"/>
        </w:rPr>
      </w:pPr>
      <w:r w:rsidRPr="00B51D2F">
        <w:rPr>
          <w:rFonts w:cstheme="minorHAnsi"/>
        </w:rPr>
        <w:t>KYMEA will maintain the capability of performing its functions from multiple locations with geographic diversity to avoid regional threats or impacts</w:t>
      </w:r>
    </w:p>
    <w:p w14:paraId="530039A2" w14:textId="778CF31A" w:rsidR="00841E87" w:rsidRPr="00B51D2F" w:rsidRDefault="00841E87" w:rsidP="007C17D3">
      <w:pPr>
        <w:pStyle w:val="ListParagraph"/>
        <w:widowControl w:val="0"/>
        <w:numPr>
          <w:ilvl w:val="0"/>
          <w:numId w:val="23"/>
        </w:numPr>
        <w:autoSpaceDE w:val="0"/>
        <w:autoSpaceDN w:val="0"/>
        <w:spacing w:before="120" w:after="120" w:line="240" w:lineRule="auto"/>
        <w:contextualSpacing w:val="0"/>
        <w:jc w:val="both"/>
        <w:rPr>
          <w:rFonts w:cstheme="minorHAnsi"/>
        </w:rPr>
      </w:pPr>
      <w:r w:rsidRPr="00B51D2F">
        <w:rPr>
          <w:rFonts w:cstheme="minorHAnsi"/>
        </w:rPr>
        <w:t xml:space="preserve">This can be achieved by maintaining multiple locations, portability of functions, or the use of </w:t>
      </w:r>
      <w:r w:rsidR="00946F44" w:rsidRPr="00B51D2F">
        <w:rPr>
          <w:rFonts w:cstheme="minorHAnsi"/>
        </w:rPr>
        <w:t>third-party</w:t>
      </w:r>
      <w:r w:rsidRPr="00B51D2F">
        <w:rPr>
          <w:rFonts w:cstheme="minorHAnsi"/>
        </w:rPr>
        <w:t xml:space="preserve"> backup such as from the Energy Service Provider facilities</w:t>
      </w:r>
    </w:p>
    <w:p w14:paraId="4AAFCEA6" w14:textId="793F2CBA" w:rsidR="00841E87" w:rsidRPr="00B51D2F" w:rsidRDefault="00841E87" w:rsidP="007C17D3">
      <w:pPr>
        <w:pStyle w:val="ListParagraph"/>
        <w:widowControl w:val="0"/>
        <w:numPr>
          <w:ilvl w:val="0"/>
          <w:numId w:val="23"/>
        </w:numPr>
        <w:autoSpaceDE w:val="0"/>
        <w:autoSpaceDN w:val="0"/>
        <w:spacing w:before="120" w:after="120" w:line="240" w:lineRule="auto"/>
        <w:contextualSpacing w:val="0"/>
        <w:jc w:val="both"/>
        <w:rPr>
          <w:rFonts w:cstheme="minorHAnsi"/>
        </w:rPr>
      </w:pPr>
      <w:r w:rsidRPr="00B51D2F">
        <w:rPr>
          <w:rFonts w:cstheme="minorHAnsi"/>
        </w:rPr>
        <w:t xml:space="preserve">Additional procedures where </w:t>
      </w:r>
      <w:r w:rsidR="00035AE0">
        <w:rPr>
          <w:rFonts w:cstheme="minorHAnsi"/>
        </w:rPr>
        <w:t>advisable</w:t>
      </w:r>
      <w:r w:rsidR="00035AE0" w:rsidRPr="00B51D2F">
        <w:rPr>
          <w:rFonts w:cstheme="minorHAnsi"/>
        </w:rPr>
        <w:t xml:space="preserve"> </w:t>
      </w:r>
      <w:r w:rsidRPr="00B51D2F">
        <w:rPr>
          <w:rFonts w:cstheme="minorHAnsi"/>
        </w:rPr>
        <w:t>will be incorporated in the Business Operations Procedures</w:t>
      </w:r>
    </w:p>
    <w:p w14:paraId="55978521" w14:textId="77777777" w:rsidR="00841E87" w:rsidRPr="00B51D2F" w:rsidRDefault="00841E87" w:rsidP="007C17D3">
      <w:pPr>
        <w:pStyle w:val="ListParagraph"/>
        <w:widowControl w:val="0"/>
        <w:numPr>
          <w:ilvl w:val="0"/>
          <w:numId w:val="19"/>
        </w:numPr>
        <w:autoSpaceDE w:val="0"/>
        <w:autoSpaceDN w:val="0"/>
        <w:spacing w:before="120" w:after="120" w:line="240" w:lineRule="auto"/>
        <w:contextualSpacing w:val="0"/>
        <w:jc w:val="both"/>
        <w:rPr>
          <w:rFonts w:cstheme="minorHAnsi"/>
        </w:rPr>
      </w:pPr>
      <w:r w:rsidRPr="00B51D2F">
        <w:rPr>
          <w:rFonts w:cstheme="minorHAnsi"/>
        </w:rPr>
        <w:t>Regulatory compliance risk will be managed as follows;</w:t>
      </w:r>
    </w:p>
    <w:p w14:paraId="30DB2020" w14:textId="7A6466E0" w:rsidR="00841E87" w:rsidRPr="00B51D2F" w:rsidRDefault="00841E87" w:rsidP="007C17D3">
      <w:pPr>
        <w:pStyle w:val="ListParagraph"/>
        <w:widowControl w:val="0"/>
        <w:numPr>
          <w:ilvl w:val="0"/>
          <w:numId w:val="24"/>
        </w:numPr>
        <w:autoSpaceDE w:val="0"/>
        <w:autoSpaceDN w:val="0"/>
        <w:spacing w:before="120" w:after="120" w:line="240" w:lineRule="auto"/>
        <w:contextualSpacing w:val="0"/>
        <w:jc w:val="both"/>
        <w:rPr>
          <w:rFonts w:cstheme="minorHAnsi"/>
        </w:rPr>
      </w:pPr>
      <w:r w:rsidRPr="00B51D2F">
        <w:rPr>
          <w:rFonts w:cstheme="minorHAnsi"/>
        </w:rPr>
        <w:t xml:space="preserve">KYMEA will designate a Responsible Officer to oversee compliance with all regulatory requirements applicable to </w:t>
      </w:r>
      <w:r w:rsidR="00EE07BE">
        <w:rPr>
          <w:rFonts w:cstheme="minorHAnsi"/>
        </w:rPr>
        <w:t>KYMEA</w:t>
      </w:r>
    </w:p>
    <w:p w14:paraId="616C3CFF" w14:textId="355CD208" w:rsidR="00841E87" w:rsidRPr="00B51D2F" w:rsidRDefault="00841E87" w:rsidP="007C17D3">
      <w:pPr>
        <w:pStyle w:val="ListParagraph"/>
        <w:widowControl w:val="0"/>
        <w:numPr>
          <w:ilvl w:val="0"/>
          <w:numId w:val="24"/>
        </w:numPr>
        <w:autoSpaceDE w:val="0"/>
        <w:autoSpaceDN w:val="0"/>
        <w:spacing w:before="120" w:after="120" w:line="240" w:lineRule="auto"/>
        <w:contextualSpacing w:val="0"/>
        <w:jc w:val="both"/>
        <w:rPr>
          <w:rFonts w:cstheme="minorHAnsi"/>
        </w:rPr>
      </w:pPr>
      <w:r w:rsidRPr="00B51D2F">
        <w:rPr>
          <w:rFonts w:cstheme="minorHAnsi"/>
        </w:rPr>
        <w:t xml:space="preserve">Regulatory compliance will be periodically reviewed by </w:t>
      </w:r>
      <w:r w:rsidR="00EE07BE">
        <w:rPr>
          <w:rFonts w:cstheme="minorHAnsi"/>
        </w:rPr>
        <w:t>KYMEA</w:t>
      </w:r>
      <w:r w:rsidRPr="00B51D2F">
        <w:rPr>
          <w:rFonts w:cstheme="minorHAnsi"/>
        </w:rPr>
        <w:t xml:space="preserve"> outside counsel at least on an annual basis or when new regulations applicable to </w:t>
      </w:r>
      <w:r w:rsidR="00EE07BE">
        <w:rPr>
          <w:rFonts w:cstheme="minorHAnsi"/>
        </w:rPr>
        <w:t>KYMEA’s</w:t>
      </w:r>
      <w:r w:rsidRPr="00B51D2F">
        <w:rPr>
          <w:rFonts w:cstheme="minorHAnsi"/>
        </w:rPr>
        <w:t xml:space="preserve"> functions are instituted</w:t>
      </w:r>
    </w:p>
    <w:p w14:paraId="106CE685" w14:textId="77777777" w:rsidR="00841E87" w:rsidRPr="00B51D2F" w:rsidRDefault="00841E87" w:rsidP="007C17D3">
      <w:pPr>
        <w:pStyle w:val="ListParagraph"/>
        <w:widowControl w:val="0"/>
        <w:numPr>
          <w:ilvl w:val="0"/>
          <w:numId w:val="24"/>
        </w:numPr>
        <w:autoSpaceDE w:val="0"/>
        <w:autoSpaceDN w:val="0"/>
        <w:spacing w:before="120" w:after="120" w:line="240" w:lineRule="auto"/>
        <w:contextualSpacing w:val="0"/>
        <w:jc w:val="both"/>
        <w:rPr>
          <w:rFonts w:cstheme="minorHAnsi"/>
        </w:rPr>
      </w:pPr>
      <w:r w:rsidRPr="00B51D2F">
        <w:rPr>
          <w:rFonts w:cstheme="minorHAnsi"/>
        </w:rPr>
        <w:t>Emissions allowance and renewable energy attributes regulatory requirements will be managed as outlined in the Energy Risk Management policy</w:t>
      </w:r>
    </w:p>
    <w:p w14:paraId="3CD434AA" w14:textId="77777777" w:rsidR="00841E87" w:rsidRPr="00B51D2F" w:rsidRDefault="00841E87" w:rsidP="007C17D3">
      <w:pPr>
        <w:pStyle w:val="ListParagraph"/>
        <w:widowControl w:val="0"/>
        <w:numPr>
          <w:ilvl w:val="0"/>
          <w:numId w:val="24"/>
        </w:numPr>
        <w:autoSpaceDE w:val="0"/>
        <w:autoSpaceDN w:val="0"/>
        <w:spacing w:before="120" w:after="120" w:line="240" w:lineRule="auto"/>
        <w:contextualSpacing w:val="0"/>
        <w:jc w:val="both"/>
        <w:rPr>
          <w:rFonts w:cstheme="minorHAnsi"/>
        </w:rPr>
      </w:pPr>
      <w:r w:rsidRPr="00B51D2F">
        <w:rPr>
          <w:rFonts w:cstheme="minorHAnsi"/>
        </w:rPr>
        <w:lastRenderedPageBreak/>
        <w:t xml:space="preserve">KYMEA may use additional outside counsel that specialize </w:t>
      </w:r>
      <w:proofErr w:type="gramStart"/>
      <w:r w:rsidRPr="00B51D2F">
        <w:rPr>
          <w:rFonts w:cstheme="minorHAnsi"/>
        </w:rPr>
        <w:t>in particular types</w:t>
      </w:r>
      <w:proofErr w:type="gramEnd"/>
      <w:r w:rsidRPr="00B51D2F">
        <w:rPr>
          <w:rFonts w:cstheme="minorHAnsi"/>
        </w:rPr>
        <w:t xml:space="preserve"> of regulatory requirements where deemed appropriate</w:t>
      </w:r>
    </w:p>
    <w:p w14:paraId="33F52803" w14:textId="77777777" w:rsidR="00841E87" w:rsidRPr="00B51D2F" w:rsidRDefault="00841E87" w:rsidP="007C17D3">
      <w:pPr>
        <w:pStyle w:val="ListParagraph"/>
        <w:widowControl w:val="0"/>
        <w:numPr>
          <w:ilvl w:val="0"/>
          <w:numId w:val="24"/>
        </w:numPr>
        <w:autoSpaceDE w:val="0"/>
        <w:autoSpaceDN w:val="0"/>
        <w:spacing w:before="0" w:after="0" w:line="240" w:lineRule="auto"/>
        <w:contextualSpacing w:val="0"/>
        <w:jc w:val="both"/>
        <w:rPr>
          <w:rFonts w:cstheme="minorHAnsi"/>
        </w:rPr>
      </w:pPr>
      <w:r w:rsidRPr="00B51D2F">
        <w:rPr>
          <w:rFonts w:cstheme="minorHAnsi"/>
        </w:rPr>
        <w:t>The specific procedures related to these functions will be outlined in the Business Operations Procedures</w:t>
      </w:r>
    </w:p>
    <w:p w14:paraId="5F0CD527" w14:textId="77777777" w:rsidR="00841E87" w:rsidRPr="005F7E4C" w:rsidRDefault="00841E87" w:rsidP="0093343B">
      <w:pPr>
        <w:pStyle w:val="ListParagraph"/>
        <w:spacing w:before="0" w:after="0"/>
        <w:ind w:left="1800"/>
        <w:jc w:val="both"/>
        <w:rPr>
          <w:rFonts w:cstheme="minorHAnsi"/>
          <w:szCs w:val="24"/>
        </w:rPr>
      </w:pPr>
    </w:p>
    <w:p w14:paraId="0A5A1FC0" w14:textId="77777777" w:rsidR="00841E87" w:rsidRPr="00B51D2F" w:rsidRDefault="00841E87" w:rsidP="007C17D3">
      <w:pPr>
        <w:pStyle w:val="ListParagraph"/>
        <w:widowControl w:val="0"/>
        <w:numPr>
          <w:ilvl w:val="0"/>
          <w:numId w:val="19"/>
        </w:numPr>
        <w:autoSpaceDE w:val="0"/>
        <w:autoSpaceDN w:val="0"/>
        <w:spacing w:before="0" w:after="0" w:line="240" w:lineRule="auto"/>
        <w:contextualSpacing w:val="0"/>
        <w:jc w:val="both"/>
        <w:rPr>
          <w:rFonts w:cstheme="minorHAnsi"/>
        </w:rPr>
      </w:pPr>
      <w:r w:rsidRPr="00B51D2F">
        <w:rPr>
          <w:rFonts w:cstheme="minorHAnsi"/>
        </w:rPr>
        <w:t>Reliability compliance risk will be managed as follows;</w:t>
      </w:r>
    </w:p>
    <w:p w14:paraId="3E80AF6A" w14:textId="44F25925" w:rsidR="00841E87" w:rsidRPr="00B51D2F" w:rsidRDefault="00841E87" w:rsidP="007C17D3">
      <w:pPr>
        <w:pStyle w:val="ListParagraph"/>
        <w:widowControl w:val="0"/>
        <w:numPr>
          <w:ilvl w:val="2"/>
          <w:numId w:val="25"/>
        </w:numPr>
        <w:autoSpaceDE w:val="0"/>
        <w:autoSpaceDN w:val="0"/>
        <w:spacing w:before="120" w:after="120" w:line="240" w:lineRule="auto"/>
        <w:contextualSpacing w:val="0"/>
        <w:jc w:val="both"/>
        <w:rPr>
          <w:rFonts w:cstheme="minorHAnsi"/>
        </w:rPr>
      </w:pPr>
      <w:r w:rsidRPr="00B51D2F">
        <w:rPr>
          <w:rFonts w:cstheme="minorHAnsi"/>
        </w:rPr>
        <w:t xml:space="preserve">KYMEA will periodically update the forecasts for its load serving obligations and compare these forecasts to the capacity procured by </w:t>
      </w:r>
      <w:r w:rsidR="00EE07BE">
        <w:rPr>
          <w:rFonts w:cstheme="minorHAnsi"/>
        </w:rPr>
        <w:t>KYMEA</w:t>
      </w:r>
      <w:r w:rsidRPr="00B51D2F">
        <w:rPr>
          <w:rFonts w:cstheme="minorHAnsi"/>
        </w:rPr>
        <w:t xml:space="preserve"> to meet these forecasted needs.</w:t>
      </w:r>
    </w:p>
    <w:p w14:paraId="69D644DB" w14:textId="77777777" w:rsidR="00841E87" w:rsidRPr="00B51D2F" w:rsidRDefault="00841E87" w:rsidP="007C17D3">
      <w:pPr>
        <w:pStyle w:val="ListParagraph"/>
        <w:widowControl w:val="0"/>
        <w:numPr>
          <w:ilvl w:val="2"/>
          <w:numId w:val="25"/>
        </w:numPr>
        <w:autoSpaceDE w:val="0"/>
        <w:autoSpaceDN w:val="0"/>
        <w:spacing w:before="120" w:after="120" w:line="240" w:lineRule="auto"/>
        <w:contextualSpacing w:val="0"/>
        <w:jc w:val="both"/>
        <w:rPr>
          <w:rFonts w:cstheme="minorHAnsi"/>
        </w:rPr>
      </w:pPr>
      <w:r w:rsidRPr="00B51D2F">
        <w:rPr>
          <w:rFonts w:cstheme="minorHAnsi"/>
        </w:rPr>
        <w:t xml:space="preserve">KYMEA will generally seek to meet a planning capacity reserve margin in accordance with applicable reliability region standards. </w:t>
      </w:r>
    </w:p>
    <w:p w14:paraId="5C1C6D1C" w14:textId="77777777" w:rsidR="00841E87" w:rsidRPr="00B51D2F" w:rsidRDefault="00841E87" w:rsidP="007C17D3">
      <w:pPr>
        <w:pStyle w:val="ListParagraph"/>
        <w:widowControl w:val="0"/>
        <w:numPr>
          <w:ilvl w:val="2"/>
          <w:numId w:val="25"/>
        </w:numPr>
        <w:autoSpaceDE w:val="0"/>
        <w:autoSpaceDN w:val="0"/>
        <w:spacing w:before="120" w:after="120" w:line="240" w:lineRule="auto"/>
        <w:contextualSpacing w:val="0"/>
        <w:jc w:val="both"/>
        <w:rPr>
          <w:rFonts w:cstheme="minorHAnsi"/>
        </w:rPr>
      </w:pPr>
      <w:r w:rsidRPr="00B51D2F">
        <w:rPr>
          <w:rFonts w:cstheme="minorHAnsi"/>
        </w:rPr>
        <w:t>The actual targeted reserve margin will be managed through long term generation additions and short, intermediate, and long term purchased power contracts based upon the cost and risk tradeoffs of KYMEA.</w:t>
      </w:r>
    </w:p>
    <w:p w14:paraId="4992A60F" w14:textId="0AA6B31B" w:rsidR="00841E87" w:rsidRDefault="00841E87" w:rsidP="007C17D3">
      <w:pPr>
        <w:pStyle w:val="ListParagraph"/>
        <w:widowControl w:val="0"/>
        <w:numPr>
          <w:ilvl w:val="2"/>
          <w:numId w:val="25"/>
        </w:numPr>
        <w:autoSpaceDE w:val="0"/>
        <w:autoSpaceDN w:val="0"/>
        <w:spacing w:before="120" w:after="120" w:line="240" w:lineRule="auto"/>
        <w:contextualSpacing w:val="0"/>
        <w:jc w:val="both"/>
        <w:rPr>
          <w:rFonts w:cstheme="minorHAnsi"/>
        </w:rPr>
      </w:pPr>
      <w:r w:rsidRPr="00B51D2F">
        <w:rPr>
          <w:rFonts w:cstheme="minorHAnsi"/>
        </w:rPr>
        <w:t>The specific procedures related to these functions will be outlined in the Business Operations Procedures</w:t>
      </w:r>
    </w:p>
    <w:p w14:paraId="3831BE31" w14:textId="5CF6A4B1" w:rsidR="007033CD" w:rsidRDefault="007033CD" w:rsidP="007033CD">
      <w:pPr>
        <w:widowControl w:val="0"/>
        <w:autoSpaceDE w:val="0"/>
        <w:autoSpaceDN w:val="0"/>
        <w:spacing w:before="120" w:after="120" w:line="240" w:lineRule="auto"/>
        <w:jc w:val="both"/>
        <w:rPr>
          <w:rFonts w:cstheme="minorHAnsi"/>
        </w:rPr>
      </w:pPr>
    </w:p>
    <w:p w14:paraId="7D191032" w14:textId="458F5A48" w:rsidR="007033CD" w:rsidRDefault="007033CD" w:rsidP="007033CD">
      <w:pPr>
        <w:widowControl w:val="0"/>
        <w:autoSpaceDE w:val="0"/>
        <w:autoSpaceDN w:val="0"/>
        <w:spacing w:before="120" w:after="120" w:line="240" w:lineRule="auto"/>
        <w:jc w:val="both"/>
        <w:rPr>
          <w:rFonts w:cstheme="minorHAnsi"/>
        </w:rPr>
      </w:pPr>
    </w:p>
    <w:p w14:paraId="27874969" w14:textId="0C17FF0A" w:rsidR="007033CD" w:rsidRDefault="007033CD" w:rsidP="007033CD">
      <w:pPr>
        <w:widowControl w:val="0"/>
        <w:autoSpaceDE w:val="0"/>
        <w:autoSpaceDN w:val="0"/>
        <w:spacing w:before="120" w:after="120" w:line="240" w:lineRule="auto"/>
        <w:jc w:val="both"/>
        <w:rPr>
          <w:rFonts w:cstheme="minorHAnsi"/>
        </w:rPr>
      </w:pPr>
    </w:p>
    <w:p w14:paraId="0F9FD776" w14:textId="02197F85" w:rsidR="007033CD" w:rsidRDefault="007033CD" w:rsidP="007033CD">
      <w:pPr>
        <w:widowControl w:val="0"/>
        <w:autoSpaceDE w:val="0"/>
        <w:autoSpaceDN w:val="0"/>
        <w:spacing w:before="120" w:after="120" w:line="240" w:lineRule="auto"/>
        <w:jc w:val="both"/>
        <w:rPr>
          <w:rFonts w:cstheme="minorHAnsi"/>
        </w:rPr>
      </w:pPr>
    </w:p>
    <w:p w14:paraId="273DC6E4" w14:textId="0803EDCE" w:rsidR="007033CD" w:rsidRDefault="007033CD" w:rsidP="007033CD">
      <w:pPr>
        <w:widowControl w:val="0"/>
        <w:autoSpaceDE w:val="0"/>
        <w:autoSpaceDN w:val="0"/>
        <w:spacing w:before="120" w:after="120" w:line="240" w:lineRule="auto"/>
        <w:jc w:val="both"/>
        <w:rPr>
          <w:rFonts w:cstheme="minorHAnsi"/>
        </w:rPr>
      </w:pPr>
    </w:p>
    <w:p w14:paraId="19C69B34" w14:textId="733CE989" w:rsidR="007033CD" w:rsidRDefault="007033CD" w:rsidP="007033CD">
      <w:pPr>
        <w:widowControl w:val="0"/>
        <w:autoSpaceDE w:val="0"/>
        <w:autoSpaceDN w:val="0"/>
        <w:spacing w:before="120" w:after="120" w:line="240" w:lineRule="auto"/>
        <w:jc w:val="both"/>
        <w:rPr>
          <w:rFonts w:cstheme="minorHAnsi"/>
        </w:rPr>
      </w:pPr>
    </w:p>
    <w:p w14:paraId="02D83033" w14:textId="3ABDB8B8" w:rsidR="007033CD" w:rsidRDefault="007033CD" w:rsidP="007033CD">
      <w:pPr>
        <w:widowControl w:val="0"/>
        <w:autoSpaceDE w:val="0"/>
        <w:autoSpaceDN w:val="0"/>
        <w:spacing w:before="120" w:after="120" w:line="240" w:lineRule="auto"/>
        <w:jc w:val="both"/>
        <w:rPr>
          <w:rFonts w:cstheme="minorHAnsi"/>
        </w:rPr>
      </w:pPr>
    </w:p>
    <w:p w14:paraId="1B643A6C" w14:textId="6F2207F7" w:rsidR="007033CD" w:rsidRDefault="007033CD" w:rsidP="007033CD">
      <w:pPr>
        <w:widowControl w:val="0"/>
        <w:autoSpaceDE w:val="0"/>
        <w:autoSpaceDN w:val="0"/>
        <w:spacing w:before="120" w:after="120" w:line="240" w:lineRule="auto"/>
        <w:jc w:val="both"/>
        <w:rPr>
          <w:rFonts w:cstheme="minorHAnsi"/>
        </w:rPr>
      </w:pPr>
    </w:p>
    <w:p w14:paraId="07987A8E" w14:textId="7FA25BBE" w:rsidR="007033CD" w:rsidRDefault="007033CD" w:rsidP="007033CD">
      <w:pPr>
        <w:widowControl w:val="0"/>
        <w:autoSpaceDE w:val="0"/>
        <w:autoSpaceDN w:val="0"/>
        <w:spacing w:before="120" w:after="120" w:line="240" w:lineRule="auto"/>
        <w:jc w:val="both"/>
        <w:rPr>
          <w:rFonts w:cstheme="minorHAnsi"/>
        </w:rPr>
      </w:pPr>
    </w:p>
    <w:p w14:paraId="12A69724" w14:textId="1C00F129" w:rsidR="007033CD" w:rsidRDefault="007033CD" w:rsidP="007033CD">
      <w:pPr>
        <w:widowControl w:val="0"/>
        <w:autoSpaceDE w:val="0"/>
        <w:autoSpaceDN w:val="0"/>
        <w:spacing w:before="120" w:after="120" w:line="240" w:lineRule="auto"/>
        <w:jc w:val="both"/>
        <w:rPr>
          <w:rFonts w:cstheme="minorHAnsi"/>
        </w:rPr>
      </w:pPr>
    </w:p>
    <w:p w14:paraId="6B306465" w14:textId="3A8860DE" w:rsidR="007033CD" w:rsidRDefault="007033CD" w:rsidP="007033CD">
      <w:pPr>
        <w:widowControl w:val="0"/>
        <w:autoSpaceDE w:val="0"/>
        <w:autoSpaceDN w:val="0"/>
        <w:spacing w:before="120" w:after="120" w:line="240" w:lineRule="auto"/>
        <w:jc w:val="both"/>
        <w:rPr>
          <w:rFonts w:cstheme="minorHAnsi"/>
        </w:rPr>
      </w:pPr>
    </w:p>
    <w:p w14:paraId="1CF8E6F6" w14:textId="3CF1DB7E" w:rsidR="007033CD" w:rsidRDefault="007033CD" w:rsidP="007033CD">
      <w:pPr>
        <w:widowControl w:val="0"/>
        <w:autoSpaceDE w:val="0"/>
        <w:autoSpaceDN w:val="0"/>
        <w:spacing w:before="120" w:after="120" w:line="240" w:lineRule="auto"/>
        <w:jc w:val="both"/>
        <w:rPr>
          <w:rFonts w:cstheme="minorHAnsi"/>
        </w:rPr>
      </w:pPr>
    </w:p>
    <w:p w14:paraId="257E3B08" w14:textId="77777777" w:rsidR="005F7EFB" w:rsidRDefault="005F7EFB" w:rsidP="007033CD">
      <w:pPr>
        <w:widowControl w:val="0"/>
        <w:autoSpaceDE w:val="0"/>
        <w:autoSpaceDN w:val="0"/>
        <w:spacing w:before="120" w:after="120" w:line="240" w:lineRule="auto"/>
        <w:jc w:val="both"/>
        <w:rPr>
          <w:rFonts w:cstheme="minorHAnsi"/>
        </w:rPr>
      </w:pPr>
    </w:p>
    <w:p w14:paraId="70680D8D" w14:textId="77777777" w:rsidR="00827BD0" w:rsidRDefault="00827BD0" w:rsidP="007033CD">
      <w:pPr>
        <w:widowControl w:val="0"/>
        <w:autoSpaceDE w:val="0"/>
        <w:autoSpaceDN w:val="0"/>
        <w:spacing w:before="120" w:after="120" w:line="240" w:lineRule="auto"/>
        <w:jc w:val="both"/>
        <w:rPr>
          <w:rFonts w:cstheme="minorHAnsi"/>
        </w:rPr>
      </w:pPr>
    </w:p>
    <w:p w14:paraId="771BC459" w14:textId="7F487C5F" w:rsidR="007033CD" w:rsidRDefault="007033CD" w:rsidP="007033CD">
      <w:pPr>
        <w:widowControl w:val="0"/>
        <w:autoSpaceDE w:val="0"/>
        <w:autoSpaceDN w:val="0"/>
        <w:spacing w:before="120" w:after="120" w:line="240" w:lineRule="auto"/>
        <w:jc w:val="both"/>
        <w:rPr>
          <w:rFonts w:cstheme="minorHAnsi"/>
        </w:rPr>
      </w:pPr>
    </w:p>
    <w:p w14:paraId="1AD83409" w14:textId="21454E91" w:rsidR="007033CD" w:rsidRDefault="007033CD" w:rsidP="007033CD">
      <w:pPr>
        <w:widowControl w:val="0"/>
        <w:autoSpaceDE w:val="0"/>
        <w:autoSpaceDN w:val="0"/>
        <w:spacing w:before="120" w:after="120" w:line="240" w:lineRule="auto"/>
        <w:jc w:val="both"/>
        <w:rPr>
          <w:rFonts w:cstheme="minorHAnsi"/>
        </w:rPr>
      </w:pPr>
    </w:p>
    <w:p w14:paraId="7AE3E75D" w14:textId="77777777" w:rsidR="00C54A3F" w:rsidRDefault="00C54A3F" w:rsidP="007033CD">
      <w:pPr>
        <w:widowControl w:val="0"/>
        <w:autoSpaceDE w:val="0"/>
        <w:autoSpaceDN w:val="0"/>
        <w:spacing w:before="120" w:after="120" w:line="240" w:lineRule="auto"/>
        <w:jc w:val="both"/>
        <w:rPr>
          <w:rFonts w:cstheme="minorHAnsi"/>
        </w:rPr>
      </w:pPr>
    </w:p>
    <w:p w14:paraId="06F6759C" w14:textId="77777777" w:rsidR="007033CD" w:rsidRPr="007033CD" w:rsidRDefault="007033CD" w:rsidP="007033CD">
      <w:pPr>
        <w:widowControl w:val="0"/>
        <w:autoSpaceDE w:val="0"/>
        <w:autoSpaceDN w:val="0"/>
        <w:spacing w:before="120" w:after="120" w:line="240" w:lineRule="auto"/>
        <w:jc w:val="both"/>
        <w:rPr>
          <w:rFonts w:cstheme="minorHAnsi"/>
        </w:rPr>
      </w:pPr>
    </w:p>
    <w:p w14:paraId="2752C085" w14:textId="3646410A" w:rsidR="003D4B5B" w:rsidRDefault="003D4B5B" w:rsidP="003D4B5B">
      <w:pPr>
        <w:pStyle w:val="Heading1"/>
      </w:pPr>
      <w:bookmarkStart w:id="13" w:name="_Toc8811582"/>
      <w:r>
        <w:lastRenderedPageBreak/>
        <w:t>SECTION 1.</w:t>
      </w:r>
      <w:r w:rsidR="00393BBA">
        <w:t>7</w:t>
      </w:r>
      <w:bookmarkEnd w:id="13"/>
    </w:p>
    <w:p w14:paraId="2CB075A6" w14:textId="0932BBAA" w:rsidR="003D4B5B" w:rsidRDefault="003D4B5B" w:rsidP="003D4B5B">
      <w:pPr>
        <w:pStyle w:val="Heading3"/>
      </w:pPr>
      <w:bookmarkStart w:id="14" w:name="_Toc8811583"/>
      <w:r>
        <w:t>energy risk management pol</w:t>
      </w:r>
      <w:r w:rsidR="00995E2A">
        <w:t>i</w:t>
      </w:r>
      <w:r>
        <w:t>cy</w:t>
      </w:r>
      <w:bookmarkEnd w:id="14"/>
    </w:p>
    <w:p w14:paraId="11E21DB4" w14:textId="77777777" w:rsidR="00841E87" w:rsidRPr="007A723D"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7A723D">
        <w:rPr>
          <w:rFonts w:cstheme="minorHAnsi"/>
        </w:rPr>
        <w:t>Fundamental Concepts</w:t>
      </w:r>
    </w:p>
    <w:p w14:paraId="2A9A2F80"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F720F4">
        <w:rPr>
          <w:rFonts w:cstheme="minorHAnsi"/>
        </w:rPr>
        <w:t>KYMEA operates its power supply function under a different business model than merchant energy companies, and therefore has a different risk profile, requiring a different approach to risk management.</w:t>
      </w:r>
    </w:p>
    <w:p w14:paraId="781D024F"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B844D6">
        <w:rPr>
          <w:rFonts w:cstheme="minorHAnsi"/>
        </w:rPr>
        <w:t>KYMEA by nature has significant volumetric risk that results from: 1) long-term load serving obligations, 2) the supply hedges used to meet those obligations (generation, forwards, options, etc.), and 3) the volumetric differences that occur between numbers 1 and 2 (</w:t>
      </w:r>
      <w:r>
        <w:rPr>
          <w:rFonts w:cstheme="minorHAnsi"/>
        </w:rPr>
        <w:t>“</w:t>
      </w:r>
      <w:r w:rsidRPr="00B844D6">
        <w:rPr>
          <w:rFonts w:cstheme="minorHAnsi"/>
        </w:rPr>
        <w:t>unmatched positions</w:t>
      </w:r>
      <w:r>
        <w:rPr>
          <w:rFonts w:cstheme="minorHAnsi"/>
        </w:rPr>
        <w:t>”</w:t>
      </w:r>
      <w:r w:rsidRPr="00B844D6">
        <w:rPr>
          <w:rFonts w:cstheme="minorHAnsi"/>
        </w:rPr>
        <w:t>).</w:t>
      </w:r>
    </w:p>
    <w:p w14:paraId="0BEE957A"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2C1FB5">
        <w:rPr>
          <w:rFonts w:cstheme="minorHAnsi"/>
        </w:rPr>
        <w:t>Typical derivative risk metrics, such as Value at Risk (</w:t>
      </w:r>
      <w:proofErr w:type="spellStart"/>
      <w:r w:rsidRPr="002C1FB5">
        <w:rPr>
          <w:rFonts w:cstheme="minorHAnsi"/>
        </w:rPr>
        <w:t>VaR</w:t>
      </w:r>
      <w:proofErr w:type="spellEnd"/>
      <w:r w:rsidRPr="002C1FB5">
        <w:rPr>
          <w:rFonts w:cstheme="minorHAnsi"/>
        </w:rPr>
        <w:t>), do not factor in volumetric risk, and are therefore inadequate to reflect the full risk that is inherent to KYMEA’s business.</w:t>
      </w:r>
    </w:p>
    <w:p w14:paraId="5AE917B3" w14:textId="07A3E0DF"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2C1FB5">
        <w:rPr>
          <w:rFonts w:cstheme="minorHAnsi"/>
        </w:rPr>
        <w:t xml:space="preserve">Native load does not behave according to any derivative that can be loaded into a risk </w:t>
      </w:r>
      <w:r w:rsidR="005F273B">
        <w:rPr>
          <w:rFonts w:cstheme="minorHAnsi"/>
        </w:rPr>
        <w:t xml:space="preserve">management </w:t>
      </w:r>
      <w:r w:rsidRPr="002C1FB5">
        <w:rPr>
          <w:rFonts w:cstheme="minorHAnsi"/>
        </w:rPr>
        <w:t xml:space="preserve">system. The proper risk measurement and decision support tool for most of KYMEA’s risks is a risk model that incorporates both market price risk and volumetric risk together, and provides for a correlation of native load demand to market prices </w:t>
      </w:r>
    </w:p>
    <w:p w14:paraId="3B3F1893" w14:textId="77777777"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E055E7">
        <w:rPr>
          <w:rFonts w:cstheme="minorHAnsi"/>
        </w:rPr>
        <w:t>KYMEA will</w:t>
      </w:r>
      <w:r>
        <w:rPr>
          <w:rFonts w:cstheme="minorHAnsi"/>
        </w:rPr>
        <w:t>:</w:t>
      </w:r>
    </w:p>
    <w:p w14:paraId="7E9EA47A"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E055E7">
        <w:rPr>
          <w:rFonts w:cstheme="minorHAnsi"/>
        </w:rPr>
        <w:t>Utilize energy risk management tools to provide competitive and stable priced, reliable electric service to its member communities</w:t>
      </w:r>
      <w:r>
        <w:rPr>
          <w:rFonts w:cstheme="minorHAnsi"/>
        </w:rPr>
        <w:t>;</w:t>
      </w:r>
    </w:p>
    <w:p w14:paraId="2718DDCC"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E055E7">
        <w:rPr>
          <w:rFonts w:cstheme="minorHAnsi"/>
        </w:rPr>
        <w:t xml:space="preserve">Participate in the forward term electric market </w:t>
      </w:r>
      <w:r w:rsidRPr="00E055E7">
        <w:rPr>
          <w:rFonts w:cstheme="minorHAnsi"/>
          <w:i/>
          <w:iCs/>
        </w:rPr>
        <w:t>defensively</w:t>
      </w:r>
      <w:r w:rsidRPr="00E055E7">
        <w:rPr>
          <w:rFonts w:cstheme="minorHAnsi"/>
        </w:rPr>
        <w:t xml:space="preserve"> to hedge the risk of its forward load serving obligations (short positions) based on monthly or seasonal forecasted peak loads, plus a capacity planning reserve</w:t>
      </w:r>
      <w:r>
        <w:rPr>
          <w:rFonts w:cstheme="minorHAnsi"/>
        </w:rPr>
        <w:t>;</w:t>
      </w:r>
    </w:p>
    <w:p w14:paraId="0001B028" w14:textId="752665E0"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E055E7">
        <w:rPr>
          <w:rFonts w:cstheme="minorHAnsi"/>
        </w:rPr>
        <w:t>KYMEA also has forward positions that are net long after meeting its</w:t>
      </w:r>
      <w:r w:rsidRPr="00E055E7">
        <w:rPr>
          <w:rFonts w:cstheme="minorHAnsi"/>
          <w:color w:val="FF6600"/>
        </w:rPr>
        <w:t xml:space="preserve"> </w:t>
      </w:r>
      <w:r w:rsidRPr="00E055E7">
        <w:rPr>
          <w:rFonts w:cstheme="minorHAnsi"/>
        </w:rPr>
        <w:t>firm load obligations</w:t>
      </w:r>
      <w:r>
        <w:rPr>
          <w:rFonts w:cstheme="minorHAnsi"/>
        </w:rPr>
        <w:t>;</w:t>
      </w:r>
    </w:p>
    <w:p w14:paraId="5BCFA83A" w14:textId="5D1F28F3"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F15DF1">
        <w:rPr>
          <w:rFonts w:cstheme="minorHAnsi"/>
        </w:rPr>
        <w:t>Participate in the weekly/daily/hourly electric market to balance its unmatched positions at the market price in real time, and</w:t>
      </w:r>
      <w:r w:rsidR="000C778B">
        <w:rPr>
          <w:rFonts w:cstheme="minorHAnsi"/>
        </w:rPr>
        <w:t xml:space="preserve"> to respond</w:t>
      </w:r>
      <w:r w:rsidRPr="00F15DF1">
        <w:rPr>
          <w:rFonts w:cstheme="minorHAnsi"/>
        </w:rPr>
        <w:t xml:space="preserve"> in the near</w:t>
      </w:r>
      <w:r>
        <w:rPr>
          <w:rFonts w:cstheme="minorHAnsi"/>
        </w:rPr>
        <w:t>-</w:t>
      </w:r>
      <w:r w:rsidRPr="00F15DF1">
        <w:rPr>
          <w:rFonts w:cstheme="minorHAnsi"/>
        </w:rPr>
        <w:t xml:space="preserve">term timeframe </w:t>
      </w:r>
      <w:r w:rsidR="00481A05">
        <w:rPr>
          <w:rFonts w:cstheme="minorHAnsi"/>
        </w:rPr>
        <w:t>to</w:t>
      </w:r>
      <w:r w:rsidR="00481A05" w:rsidRPr="00F15DF1">
        <w:rPr>
          <w:rFonts w:cstheme="minorHAnsi"/>
        </w:rPr>
        <w:t xml:space="preserve"> </w:t>
      </w:r>
      <w:r w:rsidRPr="00F15DF1">
        <w:rPr>
          <w:rFonts w:cstheme="minorHAnsi"/>
        </w:rPr>
        <w:t>predictable weather trends</w:t>
      </w:r>
      <w:r>
        <w:rPr>
          <w:rFonts w:cstheme="minorHAnsi"/>
        </w:rPr>
        <w:t>;</w:t>
      </w:r>
      <w:r w:rsidR="00481A05">
        <w:rPr>
          <w:rFonts w:cstheme="minorHAnsi"/>
        </w:rPr>
        <w:t xml:space="preserve"> and</w:t>
      </w:r>
    </w:p>
    <w:p w14:paraId="48758DAA" w14:textId="0F72E5BF"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F15DF1">
        <w:rPr>
          <w:rFonts w:cstheme="minorHAnsi"/>
        </w:rPr>
        <w:t>Participate in both the short-term and long-term energy markets to hedge its anticipated fuel consumption, financially or physically, and to supply fuel to its generation units</w:t>
      </w:r>
      <w:r w:rsidR="003B0B9B">
        <w:rPr>
          <w:rFonts w:cstheme="minorHAnsi"/>
        </w:rPr>
        <w:t>.</w:t>
      </w:r>
    </w:p>
    <w:p w14:paraId="60C89D3B" w14:textId="77777777"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31121C">
        <w:rPr>
          <w:rFonts w:cstheme="minorHAnsi"/>
        </w:rPr>
        <w:t>For short and intermediate term planning, market price risks and volumetric risks will be managed in the near-term planning cycle (1-60 months forward) utilizing a portfolio model.</w:t>
      </w:r>
    </w:p>
    <w:p w14:paraId="0B44BE8C" w14:textId="6A1C6D08"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31121C">
        <w:rPr>
          <w:rFonts w:cstheme="minorHAnsi"/>
        </w:rPr>
        <w:t xml:space="preserve">For long term planning, market risks and volumetric risks will also be managed utilizing an Integrated Resource Plan for a period of 6-20 years. KYMEA will forecast its long-term firm </w:t>
      </w:r>
      <w:r w:rsidRPr="0031121C">
        <w:rPr>
          <w:rFonts w:cstheme="minorHAnsi"/>
        </w:rPr>
        <w:lastRenderedPageBreak/>
        <w:t xml:space="preserve">supply obligations based on its expectations for load growth. This tool, along with the short/intermediate term portfolio model will assist KYMEA in making appropriate capital investments </w:t>
      </w:r>
      <w:r w:rsidR="00C70A37">
        <w:rPr>
          <w:rFonts w:cstheme="minorHAnsi"/>
        </w:rPr>
        <w:t>and long-term contractual commitments</w:t>
      </w:r>
      <w:r w:rsidR="003A3FEC">
        <w:rPr>
          <w:rFonts w:cstheme="minorHAnsi"/>
        </w:rPr>
        <w:t xml:space="preserve"> </w:t>
      </w:r>
      <w:r w:rsidRPr="0031121C">
        <w:rPr>
          <w:rFonts w:cstheme="minorHAnsi"/>
        </w:rPr>
        <w:t xml:space="preserve">to </w:t>
      </w:r>
      <w:r w:rsidR="003A3FEC">
        <w:rPr>
          <w:rFonts w:cstheme="minorHAnsi"/>
        </w:rPr>
        <w:t>serve</w:t>
      </w:r>
      <w:r w:rsidR="003A3FEC" w:rsidRPr="0031121C">
        <w:rPr>
          <w:rFonts w:cstheme="minorHAnsi"/>
        </w:rPr>
        <w:t xml:space="preserve"> </w:t>
      </w:r>
      <w:r w:rsidRPr="0031121C">
        <w:rPr>
          <w:rFonts w:cstheme="minorHAnsi"/>
        </w:rPr>
        <w:t>the needs of its members.</w:t>
      </w:r>
    </w:p>
    <w:p w14:paraId="674EB9BA" w14:textId="77777777"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FC636D">
        <w:rPr>
          <w:rFonts w:cstheme="minorHAnsi"/>
        </w:rPr>
        <w:t>KYMEA will not</w:t>
      </w:r>
      <w:r>
        <w:rPr>
          <w:rFonts w:cstheme="minorHAnsi"/>
        </w:rPr>
        <w:t>:</w:t>
      </w:r>
    </w:p>
    <w:p w14:paraId="52380F9A"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847F31">
        <w:rPr>
          <w:rFonts w:cstheme="minorHAnsi"/>
        </w:rPr>
        <w:t>Utilize energy risk management tools to trade speculatively (buy low – sell high), or to initiate energy risk positions</w:t>
      </w:r>
      <w:r>
        <w:rPr>
          <w:rFonts w:cstheme="minorHAnsi"/>
        </w:rPr>
        <w:t>;</w:t>
      </w:r>
    </w:p>
    <w:p w14:paraId="4BBB6A86" w14:textId="5F8FCD88"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847F31">
        <w:rPr>
          <w:rFonts w:cstheme="minorHAnsi"/>
        </w:rPr>
        <w:t>Take at-risk positions in merchant generation</w:t>
      </w:r>
      <w:r>
        <w:rPr>
          <w:rFonts w:cstheme="minorHAnsi"/>
        </w:rPr>
        <w:t xml:space="preserve">; </w:t>
      </w:r>
      <w:r w:rsidR="00F0121D">
        <w:rPr>
          <w:rFonts w:cstheme="minorHAnsi"/>
        </w:rPr>
        <w:t>or</w:t>
      </w:r>
    </w:p>
    <w:p w14:paraId="6FF27FE0" w14:textId="2ACCBD63"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A97606">
        <w:rPr>
          <w:rFonts w:cstheme="minorHAnsi"/>
        </w:rPr>
        <w:t>Engage in the practice of mark-to-market revenue recognition</w:t>
      </w:r>
      <w:r>
        <w:rPr>
          <w:rFonts w:cstheme="minorHAnsi"/>
        </w:rPr>
        <w:t xml:space="preserve">, considering that rates to KYMEA’s </w:t>
      </w:r>
      <w:r w:rsidR="00837E30">
        <w:rPr>
          <w:rFonts w:cstheme="minorHAnsi"/>
        </w:rPr>
        <w:t>m</w:t>
      </w:r>
      <w:r>
        <w:rPr>
          <w:rFonts w:cstheme="minorHAnsi"/>
        </w:rPr>
        <w:t>embers are c</w:t>
      </w:r>
      <w:r w:rsidRPr="00A97606">
        <w:rPr>
          <w:rFonts w:cstheme="minorHAnsi"/>
        </w:rPr>
        <w:t>ost</w:t>
      </w:r>
      <w:r>
        <w:rPr>
          <w:rFonts w:cstheme="minorHAnsi"/>
        </w:rPr>
        <w:t>-</w:t>
      </w:r>
      <w:r w:rsidRPr="00A97606">
        <w:rPr>
          <w:rFonts w:cstheme="minorHAnsi"/>
        </w:rPr>
        <w:t>based, without variability for mark-to-market fluctuations.</w:t>
      </w:r>
    </w:p>
    <w:p w14:paraId="4520B57A" w14:textId="77777777"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163899">
        <w:rPr>
          <w:rFonts w:cstheme="minorHAnsi"/>
        </w:rPr>
        <w:t xml:space="preserve">The Energy Risk Management Policy will govern the management of </w:t>
      </w:r>
      <w:r>
        <w:rPr>
          <w:rFonts w:cstheme="minorHAnsi"/>
        </w:rPr>
        <w:t xml:space="preserve">Energy Risks identified above under Definitions of Risk using </w:t>
      </w:r>
      <w:r w:rsidRPr="00163899">
        <w:rPr>
          <w:rFonts w:cstheme="minorHAnsi"/>
        </w:rPr>
        <w:t xml:space="preserve">procedures included in the Energy Risk Management </w:t>
      </w:r>
      <w:r>
        <w:rPr>
          <w:rFonts w:cstheme="minorHAnsi"/>
        </w:rPr>
        <w:t>Procedures within the limits stated below.</w:t>
      </w:r>
    </w:p>
    <w:p w14:paraId="12DEE1F7" w14:textId="43D984C6" w:rsidR="00841E87" w:rsidRDefault="00841E87" w:rsidP="007C17D3">
      <w:pPr>
        <w:pStyle w:val="ListParagraph"/>
        <w:widowControl w:val="0"/>
        <w:numPr>
          <w:ilvl w:val="1"/>
          <w:numId w:val="16"/>
        </w:numPr>
        <w:autoSpaceDE w:val="0"/>
        <w:autoSpaceDN w:val="0"/>
        <w:spacing w:before="0" w:after="0" w:line="240" w:lineRule="auto"/>
        <w:contextualSpacing w:val="0"/>
        <w:rPr>
          <w:rFonts w:cstheme="minorHAnsi"/>
        </w:rPr>
      </w:pPr>
      <w:r w:rsidRPr="00FB2666">
        <w:rPr>
          <w:rFonts w:cstheme="minorHAnsi"/>
          <w:b/>
          <w:bCs/>
        </w:rPr>
        <w:t>Commodity market price risk</w:t>
      </w:r>
      <w:r w:rsidRPr="00FB2666">
        <w:rPr>
          <w:rFonts w:cstheme="minorHAnsi"/>
        </w:rPr>
        <w:t xml:space="preserve"> </w:t>
      </w:r>
      <w:r w:rsidRPr="00347ED8">
        <w:rPr>
          <w:rFonts w:cstheme="minorHAnsi"/>
        </w:rPr>
        <w:t>will</w:t>
      </w:r>
      <w:r>
        <w:rPr>
          <w:rFonts w:cstheme="minorHAnsi"/>
        </w:rPr>
        <w:t xml:space="preserve"> be managed</w:t>
      </w:r>
      <w:r w:rsidRPr="00347ED8">
        <w:rPr>
          <w:rFonts w:cstheme="minorHAnsi"/>
        </w:rPr>
        <w:t xml:space="preserve"> according to trading authority limits to conduct market transactions.  The trading authority limits to conduct commodity market transactions are approved by KYMEA Board and are included in the Energy Risk Management </w:t>
      </w:r>
      <w:r>
        <w:rPr>
          <w:rFonts w:cstheme="minorHAnsi"/>
        </w:rPr>
        <w:t>Procedures</w:t>
      </w:r>
      <w:r w:rsidR="00B70B92">
        <w:rPr>
          <w:rFonts w:cstheme="minorHAnsi"/>
        </w:rPr>
        <w:t>.</w:t>
      </w:r>
      <w:r w:rsidRPr="00347ED8">
        <w:rPr>
          <w:rFonts w:cstheme="minorHAnsi"/>
        </w:rPr>
        <w:t xml:space="preserve"> KYMEA will also manage its commercial operational risks to new products, instruments, or locations according to a control process for such as found in the Energy Risk Management </w:t>
      </w:r>
      <w:r>
        <w:rPr>
          <w:rFonts w:cstheme="minorHAnsi"/>
        </w:rPr>
        <w:t>Procedures</w:t>
      </w:r>
      <w:r w:rsidR="00B70B92">
        <w:rPr>
          <w:rFonts w:cstheme="minorHAnsi"/>
        </w:rPr>
        <w:t>.</w:t>
      </w:r>
    </w:p>
    <w:p w14:paraId="0B8F6FA4" w14:textId="77777777" w:rsidR="00841E87" w:rsidRDefault="00841E87" w:rsidP="00841E87">
      <w:pPr>
        <w:pStyle w:val="Footer"/>
        <w:ind w:left="2160"/>
        <w:rPr>
          <w:rFonts w:ascii="Times New Roman" w:hAnsi="Times New Roman"/>
          <w:b/>
          <w:szCs w:val="24"/>
        </w:rPr>
      </w:pPr>
      <w:r>
        <w:rPr>
          <w:rFonts w:ascii="Times New Roman" w:hAnsi="Times New Roman"/>
          <w:b/>
          <w:szCs w:val="24"/>
        </w:rPr>
        <w:t xml:space="preserve"> </w:t>
      </w:r>
    </w:p>
    <w:p w14:paraId="18BA8ED1" w14:textId="0AC767DD" w:rsidR="00841E87" w:rsidRPr="00347ED8" w:rsidRDefault="00841E87" w:rsidP="007C17D3">
      <w:pPr>
        <w:pStyle w:val="ListParagraph"/>
        <w:widowControl w:val="0"/>
        <w:numPr>
          <w:ilvl w:val="2"/>
          <w:numId w:val="16"/>
        </w:numPr>
        <w:autoSpaceDE w:val="0"/>
        <w:autoSpaceDN w:val="0"/>
        <w:spacing w:before="0" w:after="0" w:line="240" w:lineRule="auto"/>
        <w:contextualSpacing w:val="0"/>
        <w:rPr>
          <w:rFonts w:cstheme="minorHAnsi"/>
        </w:rPr>
      </w:pPr>
      <w:r>
        <w:rPr>
          <w:rFonts w:cstheme="minorHAnsi"/>
          <w:bCs/>
          <w:szCs w:val="24"/>
        </w:rPr>
        <w:t>Hedge instruments will be used to manage c</w:t>
      </w:r>
      <w:r w:rsidRPr="00945A45">
        <w:rPr>
          <w:rFonts w:cstheme="minorHAnsi"/>
          <w:bCs/>
          <w:szCs w:val="24"/>
        </w:rPr>
        <w:t xml:space="preserve">ommodity price risk, concentration risk, and volumetric risk </w:t>
      </w:r>
      <w:r>
        <w:rPr>
          <w:rFonts w:cstheme="minorHAnsi"/>
          <w:bCs/>
          <w:szCs w:val="24"/>
        </w:rPr>
        <w:t>consistent with</w:t>
      </w:r>
      <w:r w:rsidRPr="00945A45">
        <w:rPr>
          <w:rFonts w:cstheme="minorHAnsi"/>
          <w:bCs/>
          <w:szCs w:val="24"/>
        </w:rPr>
        <w:t xml:space="preserve"> the Energy Risk </w:t>
      </w:r>
      <w:r>
        <w:rPr>
          <w:rFonts w:cstheme="minorHAnsi"/>
          <w:bCs/>
          <w:szCs w:val="24"/>
        </w:rPr>
        <w:t xml:space="preserve">Management </w:t>
      </w:r>
      <w:r w:rsidRPr="00945A45">
        <w:rPr>
          <w:rFonts w:cstheme="minorHAnsi"/>
          <w:bCs/>
          <w:szCs w:val="24"/>
        </w:rPr>
        <w:t>Procedures and supporting internal execution strategies and control procedures</w:t>
      </w:r>
      <w:r w:rsidR="00B70B92">
        <w:rPr>
          <w:rFonts w:cstheme="minorHAnsi"/>
          <w:bCs/>
          <w:szCs w:val="24"/>
        </w:rPr>
        <w:t>.</w:t>
      </w:r>
    </w:p>
    <w:p w14:paraId="4805B028" w14:textId="55300C00"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D7022C">
        <w:rPr>
          <w:rFonts w:cstheme="minorHAnsi"/>
          <w:bCs/>
        </w:rPr>
        <w:t xml:space="preserve">Numerous transactions may be </w:t>
      </w:r>
      <w:proofErr w:type="gramStart"/>
      <w:r w:rsidRPr="00D7022C">
        <w:rPr>
          <w:rFonts w:cstheme="minorHAnsi"/>
          <w:bCs/>
        </w:rPr>
        <w:t>entered into</w:t>
      </w:r>
      <w:proofErr w:type="gramEnd"/>
      <w:r w:rsidRPr="00D7022C">
        <w:rPr>
          <w:rFonts w:cstheme="minorHAnsi"/>
          <w:bCs/>
        </w:rPr>
        <w:t xml:space="preserve"> to mitigate risk consistent with the Board approved power supply cost goals and risk tolerance. </w:t>
      </w:r>
      <w:r w:rsidRPr="00D7022C">
        <w:rPr>
          <w:rFonts w:cstheme="minorHAnsi"/>
        </w:rPr>
        <w:t xml:space="preserve">Several hedging instruments and commodities are used to manage KYMEA </w:t>
      </w:r>
      <w:r w:rsidR="00837E30">
        <w:rPr>
          <w:rFonts w:cstheme="minorHAnsi"/>
        </w:rPr>
        <w:t>E</w:t>
      </w:r>
      <w:r w:rsidRPr="00D7022C">
        <w:rPr>
          <w:rFonts w:cstheme="minorHAnsi"/>
        </w:rPr>
        <w:t xml:space="preserve">nterprise </w:t>
      </w:r>
      <w:r w:rsidR="00837E30">
        <w:rPr>
          <w:rFonts w:cstheme="minorHAnsi"/>
        </w:rPr>
        <w:t>R</w:t>
      </w:r>
      <w:r w:rsidRPr="00D7022C">
        <w:rPr>
          <w:rFonts w:cstheme="minorHAnsi"/>
        </w:rPr>
        <w:t>isks, which include purchases or sales of physical commodities, financial instruments, power transmission, and power generation capacity.</w:t>
      </w:r>
    </w:p>
    <w:p w14:paraId="1D43CC45"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F720F4">
        <w:rPr>
          <w:rFonts w:cstheme="minorHAnsi"/>
        </w:rPr>
        <w:t xml:space="preserve">The IRC may hedge up to 100% of the expected volumes of individual fuel types at the time of execution </w:t>
      </w:r>
      <w:r>
        <w:rPr>
          <w:rFonts w:cstheme="minorHAnsi"/>
        </w:rPr>
        <w:t>within</w:t>
      </w:r>
      <w:r w:rsidRPr="00F720F4">
        <w:rPr>
          <w:rFonts w:cstheme="minorHAnsi"/>
        </w:rPr>
        <w:t xml:space="preserve"> the Financial Limits listed below</w:t>
      </w:r>
      <w:r>
        <w:rPr>
          <w:rFonts w:cstheme="minorHAnsi"/>
        </w:rPr>
        <w:t>.</w:t>
      </w:r>
    </w:p>
    <w:p w14:paraId="4D002F75" w14:textId="230BD99D"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36587F">
        <w:rPr>
          <w:rFonts w:cstheme="minorHAnsi"/>
        </w:rPr>
        <w:t>Financial Limits</w:t>
      </w:r>
      <w:r>
        <w:rPr>
          <w:rFonts w:cstheme="minorHAnsi"/>
        </w:rPr>
        <w:t xml:space="preserve">. </w:t>
      </w:r>
      <w:r w:rsidRPr="0036587F">
        <w:rPr>
          <w:rFonts w:cstheme="minorHAnsi"/>
        </w:rPr>
        <w:t>The maximum exposure of open financial (all futures, options, and OTC) instruments expressed as the total gross current market value (“notional value”) of outstanding financial positions under this Policy shall not exceed a percentage of the annual fuel component</w:t>
      </w:r>
      <w:r>
        <w:rPr>
          <w:rFonts w:cstheme="minorHAnsi"/>
        </w:rPr>
        <w:t xml:space="preserve"> (including fuel costs of </w:t>
      </w:r>
      <w:r w:rsidR="00EE07BE">
        <w:rPr>
          <w:rFonts w:cstheme="minorHAnsi"/>
        </w:rPr>
        <w:t xml:space="preserve">KYMEA </w:t>
      </w:r>
      <w:r>
        <w:rPr>
          <w:rFonts w:cstheme="minorHAnsi"/>
        </w:rPr>
        <w:t xml:space="preserve">owned generation and identified under PPAs) </w:t>
      </w:r>
      <w:r w:rsidRPr="0036587F">
        <w:rPr>
          <w:rFonts w:cstheme="minorHAnsi"/>
        </w:rPr>
        <w:t>of the energy procurement budget as follows:</w:t>
      </w:r>
    </w:p>
    <w:p w14:paraId="1B2984C8" w14:textId="67091A44"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055B05">
        <w:rPr>
          <w:rFonts w:cstheme="minorHAnsi"/>
        </w:rPr>
        <w:t>1</w:t>
      </w:r>
      <w:r w:rsidRPr="00055B05">
        <w:rPr>
          <w:rFonts w:cstheme="minorHAnsi"/>
          <w:vertAlign w:val="superscript"/>
        </w:rPr>
        <w:t>st</w:t>
      </w:r>
      <w:r w:rsidRPr="00055B05">
        <w:rPr>
          <w:rFonts w:cstheme="minorHAnsi"/>
        </w:rPr>
        <w:t xml:space="preserve"> Year</w:t>
      </w:r>
      <w:r w:rsidRPr="00055B05">
        <w:rPr>
          <w:rFonts w:cstheme="minorHAnsi"/>
        </w:rPr>
        <w:tab/>
      </w:r>
      <w:r w:rsidR="00951EAB" w:rsidRPr="00055B05">
        <w:rPr>
          <w:rFonts w:cstheme="minorHAnsi"/>
        </w:rPr>
        <w:t>-</w:t>
      </w:r>
      <w:r w:rsidR="00951EAB">
        <w:rPr>
          <w:rFonts w:cstheme="minorHAnsi"/>
        </w:rPr>
        <w:t xml:space="preserve"> </w:t>
      </w:r>
      <w:r w:rsidR="00951EAB">
        <w:rPr>
          <w:rFonts w:cstheme="minorHAnsi"/>
        </w:rPr>
        <w:tab/>
        <w:t>40</w:t>
      </w:r>
      <w:r w:rsidRPr="00055B05">
        <w:rPr>
          <w:rFonts w:cstheme="minorHAnsi"/>
        </w:rPr>
        <w:t>% of approved annual fuel component of energy budget</w:t>
      </w:r>
    </w:p>
    <w:p w14:paraId="22D7A800" w14:textId="6F63E9B1"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055B05">
        <w:rPr>
          <w:rFonts w:cstheme="minorHAnsi"/>
        </w:rPr>
        <w:lastRenderedPageBreak/>
        <w:t>2</w:t>
      </w:r>
      <w:r w:rsidRPr="00055B05">
        <w:rPr>
          <w:rFonts w:cstheme="minorHAnsi"/>
          <w:vertAlign w:val="superscript"/>
        </w:rPr>
        <w:t>nd</w:t>
      </w:r>
      <w:r w:rsidRPr="00055B05">
        <w:rPr>
          <w:rFonts w:cstheme="minorHAnsi"/>
        </w:rPr>
        <w:t xml:space="preserve"> Year</w:t>
      </w:r>
      <w:r w:rsidRPr="00055B05">
        <w:rPr>
          <w:rFonts w:cstheme="minorHAnsi"/>
        </w:rPr>
        <w:tab/>
        <w:t>-</w:t>
      </w:r>
      <w:r w:rsidR="00951EAB">
        <w:rPr>
          <w:rFonts w:cstheme="minorHAnsi"/>
        </w:rPr>
        <w:tab/>
      </w:r>
      <w:r w:rsidRPr="00055B05">
        <w:rPr>
          <w:rFonts w:cstheme="minorHAnsi"/>
        </w:rPr>
        <w:t>35% of forecasted annual fuel component of energy budget</w:t>
      </w:r>
    </w:p>
    <w:p w14:paraId="4654DC72"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055B05">
        <w:rPr>
          <w:rFonts w:cstheme="minorHAnsi"/>
        </w:rPr>
        <w:t>3</w:t>
      </w:r>
      <w:r w:rsidRPr="00055B05">
        <w:rPr>
          <w:rFonts w:cstheme="minorHAnsi"/>
          <w:vertAlign w:val="superscript"/>
        </w:rPr>
        <w:t>rd</w:t>
      </w:r>
      <w:r w:rsidRPr="00055B05">
        <w:rPr>
          <w:rFonts w:cstheme="minorHAnsi"/>
        </w:rPr>
        <w:t xml:space="preserve"> Year</w:t>
      </w:r>
      <w:r w:rsidRPr="00055B05">
        <w:rPr>
          <w:rFonts w:cstheme="minorHAnsi"/>
        </w:rPr>
        <w:tab/>
        <w:t>-</w:t>
      </w:r>
      <w:r w:rsidRPr="00055B05">
        <w:rPr>
          <w:rFonts w:cstheme="minorHAnsi"/>
        </w:rPr>
        <w:tab/>
        <w:t>30% of forecasted annual fuel component of energy budget</w:t>
      </w:r>
    </w:p>
    <w:p w14:paraId="4099D017"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055B05">
        <w:rPr>
          <w:rFonts w:cstheme="minorHAnsi"/>
        </w:rPr>
        <w:t>4</w:t>
      </w:r>
      <w:r w:rsidRPr="00055B05">
        <w:rPr>
          <w:rFonts w:cstheme="minorHAnsi"/>
          <w:vertAlign w:val="superscript"/>
        </w:rPr>
        <w:t>th</w:t>
      </w:r>
      <w:r w:rsidRPr="00055B05">
        <w:rPr>
          <w:rFonts w:cstheme="minorHAnsi"/>
        </w:rPr>
        <w:t xml:space="preserve"> Year</w:t>
      </w:r>
      <w:r w:rsidRPr="00055B05">
        <w:rPr>
          <w:rFonts w:cstheme="minorHAnsi"/>
        </w:rPr>
        <w:tab/>
        <w:t>-</w:t>
      </w:r>
      <w:r w:rsidRPr="00055B05">
        <w:rPr>
          <w:rFonts w:cstheme="minorHAnsi"/>
        </w:rPr>
        <w:tab/>
        <w:t>25% of forecasted annual fuel component of energy budget</w:t>
      </w:r>
    </w:p>
    <w:p w14:paraId="67D0D18D"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Pr>
          <w:rFonts w:cstheme="minorHAnsi"/>
        </w:rPr>
        <w:t>5</w:t>
      </w:r>
      <w:r w:rsidRPr="00CE7794">
        <w:rPr>
          <w:rFonts w:cstheme="minorHAnsi"/>
          <w:vertAlign w:val="superscript"/>
        </w:rPr>
        <w:t>th</w:t>
      </w:r>
      <w:r>
        <w:rPr>
          <w:rFonts w:cstheme="minorHAnsi"/>
        </w:rPr>
        <w:t xml:space="preserve"> </w:t>
      </w:r>
      <w:r w:rsidRPr="00055B05">
        <w:rPr>
          <w:rFonts w:cstheme="minorHAnsi"/>
        </w:rPr>
        <w:t>Year</w:t>
      </w:r>
      <w:r w:rsidRPr="00055B05">
        <w:rPr>
          <w:rFonts w:cstheme="minorHAnsi"/>
        </w:rPr>
        <w:tab/>
        <w:t>-</w:t>
      </w:r>
      <w:r w:rsidRPr="00055B05">
        <w:rPr>
          <w:rFonts w:cstheme="minorHAnsi"/>
        </w:rPr>
        <w:tab/>
        <w:t>20% of forecasted annual fuel component of energy budget</w:t>
      </w:r>
    </w:p>
    <w:p w14:paraId="51040E33"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A90AB2">
        <w:rPr>
          <w:rFonts w:cstheme="minorHAnsi"/>
        </w:rPr>
        <w:t>Authorization. For</w:t>
      </w:r>
      <w:r w:rsidRPr="00B638C1">
        <w:rPr>
          <w:rFonts w:cstheme="minorHAnsi"/>
        </w:rPr>
        <w:t xml:space="preserve"> the management of commodity market price risk, the following are the only financial instruments that are authorized for use to conduct these energy risk management activities:</w:t>
      </w:r>
    </w:p>
    <w:p w14:paraId="23A19DA9"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B50266">
        <w:rPr>
          <w:rFonts w:cstheme="minorHAnsi"/>
          <w:u w:val="single"/>
        </w:rPr>
        <w:t>Futures Contract</w:t>
      </w:r>
      <w:r w:rsidRPr="00B50266">
        <w:rPr>
          <w:rFonts w:cstheme="minorHAnsi"/>
        </w:rPr>
        <w:t xml:space="preserve"> - A standardized binding agreement to buy or sell a specified quantity or grade of a commodity </w:t>
      </w:r>
      <w:proofErr w:type="gramStart"/>
      <w:r w:rsidRPr="00B50266">
        <w:rPr>
          <w:rFonts w:cstheme="minorHAnsi"/>
        </w:rPr>
        <w:t>at a later date</w:t>
      </w:r>
      <w:proofErr w:type="gramEnd"/>
      <w:r w:rsidRPr="00B50266">
        <w:rPr>
          <w:rFonts w:cstheme="minorHAnsi"/>
        </w:rPr>
        <w:t>. Futures contracts are freely transferable, can be traded exclusively on regulated exchanges and are settled daily based on their current value in the marketplace.</w:t>
      </w:r>
    </w:p>
    <w:p w14:paraId="0A2A1BCA"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B50266">
        <w:rPr>
          <w:rFonts w:cstheme="minorHAnsi"/>
          <w:u w:val="single"/>
        </w:rPr>
        <w:t>Option</w:t>
      </w:r>
      <w:r w:rsidRPr="00B50266">
        <w:rPr>
          <w:rFonts w:cstheme="minorHAnsi"/>
        </w:rPr>
        <w:t xml:space="preserve"> - A contract which gives the holder the right, but not the obligation, to purchase or sell the underlying futures contract at a specified price within a specified </w:t>
      </w:r>
      <w:proofErr w:type="gramStart"/>
      <w:r w:rsidRPr="00B50266">
        <w:rPr>
          <w:rFonts w:cstheme="minorHAnsi"/>
        </w:rPr>
        <w:t>period of time</w:t>
      </w:r>
      <w:proofErr w:type="gramEnd"/>
      <w:r w:rsidRPr="00B50266">
        <w:rPr>
          <w:rFonts w:cstheme="minorHAnsi"/>
        </w:rPr>
        <w:t xml:space="preserve"> in exchange for a one-time premium payment. The contract also obligates the writer, who receives the premium, to meet these obligations.</w:t>
      </w:r>
    </w:p>
    <w:p w14:paraId="0C78BB20" w14:textId="22EAF4A5" w:rsidR="00841E87" w:rsidRPr="00B50266"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B50266">
        <w:rPr>
          <w:rFonts w:cstheme="minorHAnsi"/>
          <w:u w:val="single"/>
        </w:rPr>
        <w:t>Over-the-Counter Instruments (OTC)</w:t>
      </w:r>
      <w:r w:rsidRPr="00B50266">
        <w:rPr>
          <w:rFonts w:cstheme="minorHAnsi"/>
        </w:rPr>
        <w:t xml:space="preserve"> - Any financial or physical instrument that is customized and created by a counterpart</w:t>
      </w:r>
      <w:r w:rsidR="00262218">
        <w:rPr>
          <w:rFonts w:cstheme="minorHAnsi"/>
        </w:rPr>
        <w:t>y</w:t>
      </w:r>
      <w:r w:rsidRPr="00B50266">
        <w:rPr>
          <w:rFonts w:cstheme="minorHAnsi"/>
        </w:rPr>
        <w:t xml:space="preserve"> to replicate the risk profile associated with a commodity. </w:t>
      </w:r>
    </w:p>
    <w:p w14:paraId="0EAF6A95"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C540F2">
        <w:rPr>
          <w:rFonts w:cstheme="minorHAnsi"/>
        </w:rPr>
        <w:t xml:space="preserve">Counterparty performance risk will be managed thru monitoring of the </w:t>
      </w:r>
      <w:r>
        <w:rPr>
          <w:rFonts w:cstheme="minorHAnsi"/>
        </w:rPr>
        <w:t>c</w:t>
      </w:r>
      <w:r w:rsidRPr="00C540F2">
        <w:rPr>
          <w:rFonts w:cstheme="minorHAnsi"/>
        </w:rPr>
        <w:t>ounterparty obligations and default provisions of PPAs, bilateral transactions, or service contracts</w:t>
      </w:r>
      <w:r>
        <w:rPr>
          <w:rFonts w:cstheme="minorHAnsi"/>
        </w:rPr>
        <w:t xml:space="preserve">. </w:t>
      </w:r>
      <w:r w:rsidRPr="00A3784D">
        <w:rPr>
          <w:rFonts w:cstheme="minorHAnsi"/>
        </w:rPr>
        <w:t>Counterparty credit risk will be managed under the Financial Risk Management Policy</w:t>
      </w:r>
      <w:r>
        <w:rPr>
          <w:rFonts w:cstheme="minorHAnsi"/>
        </w:rPr>
        <w:t>.</w:t>
      </w:r>
    </w:p>
    <w:p w14:paraId="7A989331" w14:textId="6341A35A"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A22867">
        <w:rPr>
          <w:rFonts w:cstheme="minorHAnsi"/>
        </w:rPr>
        <w:t xml:space="preserve">Concentration </w:t>
      </w:r>
      <w:r>
        <w:rPr>
          <w:rFonts w:cstheme="minorHAnsi"/>
        </w:rPr>
        <w:t>(</w:t>
      </w:r>
      <w:r w:rsidR="00C40DBF">
        <w:rPr>
          <w:rFonts w:cstheme="minorHAnsi"/>
        </w:rPr>
        <w:t>L</w:t>
      </w:r>
      <w:r>
        <w:rPr>
          <w:rFonts w:cstheme="minorHAnsi"/>
        </w:rPr>
        <w:t xml:space="preserve">ack of Diversity) </w:t>
      </w:r>
      <w:r w:rsidRPr="00A22867">
        <w:rPr>
          <w:rFonts w:cstheme="minorHAnsi"/>
        </w:rPr>
        <w:t>risks will be managed by diversifying the Agency’s supply resources and its energy (fuel and power) purchase requirements based upon the diversi</w:t>
      </w:r>
      <w:r w:rsidR="00C75B33">
        <w:rPr>
          <w:rFonts w:cstheme="minorHAnsi"/>
        </w:rPr>
        <w:t>fication</w:t>
      </w:r>
      <w:r w:rsidRPr="00A22867">
        <w:rPr>
          <w:rFonts w:cstheme="minorHAnsi"/>
        </w:rPr>
        <w:t xml:space="preserve"> requirements to avoid </w:t>
      </w:r>
      <w:r w:rsidR="0047399C">
        <w:rPr>
          <w:rFonts w:cstheme="minorHAnsi"/>
        </w:rPr>
        <w:t>excessive</w:t>
      </w:r>
      <w:r w:rsidR="00951EAB">
        <w:rPr>
          <w:rFonts w:cstheme="minorHAnsi"/>
        </w:rPr>
        <w:t xml:space="preserve"> </w:t>
      </w:r>
      <w:r w:rsidRPr="00A22867">
        <w:rPr>
          <w:rFonts w:cstheme="minorHAnsi"/>
        </w:rPr>
        <w:t>reliance on</w:t>
      </w:r>
      <w:r>
        <w:rPr>
          <w:rFonts w:cstheme="minorHAnsi"/>
        </w:rPr>
        <w:t>:</w:t>
      </w:r>
    </w:p>
    <w:p w14:paraId="4A53C06D"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A22867">
        <w:rPr>
          <w:rFonts w:cstheme="minorHAnsi"/>
        </w:rPr>
        <w:t>A single fuel commodity</w:t>
      </w:r>
      <w:r>
        <w:rPr>
          <w:rFonts w:cstheme="minorHAnsi"/>
        </w:rPr>
        <w:t>;</w:t>
      </w:r>
    </w:p>
    <w:p w14:paraId="0A09F8BB"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2E2D05">
        <w:rPr>
          <w:rFonts w:cstheme="minorHAnsi"/>
        </w:rPr>
        <w:t>A single supplier</w:t>
      </w:r>
      <w:r>
        <w:rPr>
          <w:rFonts w:cstheme="minorHAnsi"/>
        </w:rPr>
        <w:t>;</w:t>
      </w:r>
    </w:p>
    <w:p w14:paraId="3B97DD53"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2E2D05">
        <w:rPr>
          <w:rFonts w:cstheme="minorHAnsi"/>
        </w:rPr>
        <w:t>A single technology</w:t>
      </w:r>
      <w:r>
        <w:rPr>
          <w:rFonts w:cstheme="minorHAnsi"/>
        </w:rPr>
        <w:t>; or</w:t>
      </w:r>
    </w:p>
    <w:p w14:paraId="4C128641" w14:textId="1601BEBB"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t>A sing</w:t>
      </w:r>
      <w:r w:rsidR="0047399C">
        <w:rPr>
          <w:rFonts w:cstheme="minorHAnsi"/>
        </w:rPr>
        <w:t>l</w:t>
      </w:r>
      <w:r>
        <w:rPr>
          <w:rFonts w:cstheme="minorHAnsi"/>
        </w:rPr>
        <w:t>e g</w:t>
      </w:r>
      <w:r w:rsidRPr="002E2D05">
        <w:rPr>
          <w:rFonts w:cstheme="minorHAnsi"/>
        </w:rPr>
        <w:t xml:space="preserve">eographic </w:t>
      </w:r>
      <w:r>
        <w:rPr>
          <w:rFonts w:cstheme="minorHAnsi"/>
        </w:rPr>
        <w:t>location or area.</w:t>
      </w:r>
    </w:p>
    <w:p w14:paraId="7DB541ED" w14:textId="77777777" w:rsidR="00841E87" w:rsidRPr="004A7EF5" w:rsidRDefault="00841E87" w:rsidP="00841E87">
      <w:pPr>
        <w:spacing w:before="120" w:after="120"/>
        <w:ind w:left="1440"/>
        <w:jc w:val="both"/>
        <w:rPr>
          <w:rFonts w:cstheme="minorHAnsi"/>
        </w:rPr>
      </w:pPr>
      <w:r w:rsidRPr="002E2D05">
        <w:rPr>
          <w:rFonts w:cstheme="minorHAnsi"/>
        </w:rPr>
        <w:t>Specific diversification requirements will be outlined in the</w:t>
      </w:r>
      <w:r w:rsidRPr="002E2D05">
        <w:rPr>
          <w:rFonts w:cstheme="minorHAnsi"/>
          <w:bCs/>
        </w:rPr>
        <w:t xml:space="preserve"> Energy Risk Management </w:t>
      </w:r>
      <w:r>
        <w:rPr>
          <w:rFonts w:cstheme="minorHAnsi"/>
          <w:bCs/>
        </w:rPr>
        <w:t>Procedures</w:t>
      </w:r>
      <w:r w:rsidRPr="002E2D05">
        <w:rPr>
          <w:rFonts w:cstheme="minorHAnsi"/>
          <w:bCs/>
        </w:rPr>
        <w:t>.</w:t>
      </w:r>
    </w:p>
    <w:p w14:paraId="2DAF2AE4"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F720F4">
        <w:rPr>
          <w:rFonts w:cstheme="minorHAnsi"/>
        </w:rPr>
        <w:t>Delivery risks will be managed by</w:t>
      </w:r>
      <w:r>
        <w:rPr>
          <w:rFonts w:cstheme="minorHAnsi"/>
        </w:rPr>
        <w:t>:</w:t>
      </w:r>
    </w:p>
    <w:p w14:paraId="340D482B" w14:textId="53CAF9EA"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lastRenderedPageBreak/>
        <w:t>P</w:t>
      </w:r>
      <w:r w:rsidRPr="00F720F4">
        <w:rPr>
          <w:rFonts w:cstheme="minorHAnsi"/>
        </w:rPr>
        <w:t xml:space="preserve">rocuring firm </w:t>
      </w:r>
      <w:r>
        <w:rPr>
          <w:rFonts w:cstheme="minorHAnsi"/>
        </w:rPr>
        <w:t xml:space="preserve">electric </w:t>
      </w:r>
      <w:r w:rsidRPr="00F720F4">
        <w:rPr>
          <w:rFonts w:cstheme="minorHAnsi"/>
        </w:rPr>
        <w:t xml:space="preserve">transmission rights as outlined in KYMEA’s </w:t>
      </w:r>
      <w:r w:rsidRPr="004A7EF5">
        <w:rPr>
          <w:rFonts w:cstheme="minorHAnsi"/>
        </w:rPr>
        <w:t xml:space="preserve">Energy Risk Management </w:t>
      </w:r>
      <w:r>
        <w:rPr>
          <w:rFonts w:cstheme="minorHAnsi"/>
        </w:rPr>
        <w:t>Procedures; and</w:t>
      </w:r>
    </w:p>
    <w:p w14:paraId="7C965D34"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t>E</w:t>
      </w:r>
      <w:r w:rsidRPr="00861E7F">
        <w:rPr>
          <w:rFonts w:cstheme="minorHAnsi"/>
        </w:rPr>
        <w:t xml:space="preserve">valuating the fuel transportation methods utilized by PPA suppliers and by evaluating the procurement of firm gas transmission rights for PPA’s that allow </w:t>
      </w:r>
      <w:r>
        <w:rPr>
          <w:rFonts w:cstheme="minorHAnsi"/>
        </w:rPr>
        <w:t>KYMEA</w:t>
      </w:r>
      <w:r w:rsidRPr="00861E7F">
        <w:rPr>
          <w:rFonts w:cstheme="minorHAnsi"/>
        </w:rPr>
        <w:t xml:space="preserve"> the option to deliver its own fuel</w:t>
      </w:r>
      <w:r>
        <w:rPr>
          <w:rFonts w:cstheme="minorHAnsi"/>
        </w:rPr>
        <w:t>.</w:t>
      </w:r>
    </w:p>
    <w:p w14:paraId="2F828DF3" w14:textId="7777777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303A4F">
        <w:rPr>
          <w:rFonts w:cstheme="minorHAnsi"/>
        </w:rPr>
        <w:t xml:space="preserve">Forced outage or </w:t>
      </w:r>
      <w:proofErr w:type="spellStart"/>
      <w:r w:rsidRPr="00303A4F">
        <w:rPr>
          <w:rFonts w:cstheme="minorHAnsi"/>
        </w:rPr>
        <w:t>derate</w:t>
      </w:r>
      <w:proofErr w:type="spellEnd"/>
      <w:r w:rsidRPr="00303A4F">
        <w:rPr>
          <w:rFonts w:cstheme="minorHAnsi"/>
        </w:rPr>
        <w:t xml:space="preserve"> risk will be managed</w:t>
      </w:r>
      <w:r>
        <w:rPr>
          <w:rFonts w:cstheme="minorHAnsi"/>
        </w:rPr>
        <w:t>:</w:t>
      </w:r>
    </w:p>
    <w:p w14:paraId="3E8C7912" w14:textId="0452D032"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t>T</w:t>
      </w:r>
      <w:r w:rsidRPr="00E10C2B">
        <w:rPr>
          <w:rFonts w:cstheme="minorHAnsi"/>
        </w:rPr>
        <w:t xml:space="preserve">hrough the negotiation and enforcement of availability guarantees in </w:t>
      </w:r>
      <w:r>
        <w:rPr>
          <w:rFonts w:cstheme="minorHAnsi"/>
        </w:rPr>
        <w:t>KYMEA</w:t>
      </w:r>
      <w:r w:rsidR="009D7570">
        <w:rPr>
          <w:rFonts w:cstheme="minorHAnsi"/>
        </w:rPr>
        <w:t>’</w:t>
      </w:r>
      <w:r w:rsidRPr="00E10C2B">
        <w:rPr>
          <w:rFonts w:cstheme="minorHAnsi"/>
        </w:rPr>
        <w:t xml:space="preserve">s </w:t>
      </w:r>
      <w:r w:rsidR="009D7570">
        <w:rPr>
          <w:rFonts w:cstheme="minorHAnsi"/>
        </w:rPr>
        <w:t>PPA’s</w:t>
      </w:r>
      <w:r w:rsidR="003F48FE">
        <w:rPr>
          <w:rFonts w:cstheme="minorHAnsi"/>
        </w:rPr>
        <w:t xml:space="preserve"> </w:t>
      </w:r>
      <w:r w:rsidRPr="00E10C2B">
        <w:rPr>
          <w:rFonts w:cstheme="minorHAnsi"/>
        </w:rPr>
        <w:t>and their associated cost of cover requirements</w:t>
      </w:r>
      <w:r>
        <w:rPr>
          <w:rFonts w:cstheme="minorHAnsi"/>
        </w:rPr>
        <w:t>;</w:t>
      </w:r>
    </w:p>
    <w:p w14:paraId="2E0D808E" w14:textId="7809CB61"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E10C2B">
        <w:rPr>
          <w:rFonts w:cstheme="minorHAnsi"/>
        </w:rPr>
        <w:t xml:space="preserve">For self-owned and operated assets, </w:t>
      </w:r>
      <w:r>
        <w:rPr>
          <w:rFonts w:cstheme="minorHAnsi"/>
        </w:rPr>
        <w:t>using</w:t>
      </w:r>
      <w:r w:rsidRPr="00E10C2B">
        <w:rPr>
          <w:rFonts w:cstheme="minorHAnsi"/>
        </w:rPr>
        <w:t xml:space="preserve"> prudent utility practice in the development and management of </w:t>
      </w:r>
      <w:r w:rsidR="009271EC">
        <w:rPr>
          <w:rFonts w:cstheme="minorHAnsi"/>
        </w:rPr>
        <w:t>KYMEA’s</w:t>
      </w:r>
      <w:r w:rsidRPr="00E10C2B">
        <w:rPr>
          <w:rFonts w:cstheme="minorHAnsi"/>
        </w:rPr>
        <w:t xml:space="preserve"> operations and maintenance procedures as outlined in the Energy Risk Management </w:t>
      </w:r>
      <w:r>
        <w:rPr>
          <w:rFonts w:cstheme="minorHAnsi"/>
        </w:rPr>
        <w:t>Procedures; and</w:t>
      </w:r>
    </w:p>
    <w:p w14:paraId="57099955" w14:textId="52073FC3"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t xml:space="preserve">By working further with the Board to </w:t>
      </w:r>
      <w:r w:rsidRPr="00365739">
        <w:rPr>
          <w:rFonts w:cstheme="minorHAnsi"/>
        </w:rPr>
        <w:t xml:space="preserve">establish any maximum levels of financial expenditures to be made for replacement power to avoid </w:t>
      </w:r>
      <w:r w:rsidR="008A693B" w:rsidRPr="00365739">
        <w:rPr>
          <w:rFonts w:cstheme="minorHAnsi"/>
        </w:rPr>
        <w:t>interrupting KYMEA’s</w:t>
      </w:r>
      <w:r w:rsidRPr="00365739">
        <w:rPr>
          <w:rFonts w:cstheme="minorHAnsi"/>
        </w:rPr>
        <w:t xml:space="preserve"> firm power supply obligations and the criteria for interruption should these financial limits be exceeded.</w:t>
      </w:r>
    </w:p>
    <w:p w14:paraId="264C323D" w14:textId="7691706C" w:rsidR="00841E87" w:rsidRPr="0050719B"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50719B">
        <w:rPr>
          <w:rFonts w:cstheme="minorHAnsi"/>
          <w:bCs/>
        </w:rPr>
        <w:t>Volumetric risk</w:t>
      </w:r>
      <w:r>
        <w:rPr>
          <w:rFonts w:cstheme="minorHAnsi"/>
        </w:rPr>
        <w:t xml:space="preserve"> (l</w:t>
      </w:r>
      <w:r w:rsidRPr="0050719B">
        <w:rPr>
          <w:rFonts w:cstheme="minorHAnsi"/>
          <w:bCs/>
        </w:rPr>
        <w:t xml:space="preserve">oad forecast/weather variability </w:t>
      </w:r>
      <w:r>
        <w:rPr>
          <w:rFonts w:cstheme="minorHAnsi"/>
          <w:bCs/>
        </w:rPr>
        <w:t xml:space="preserve">and </w:t>
      </w:r>
      <w:r w:rsidR="00E1245D">
        <w:rPr>
          <w:rFonts w:cstheme="minorHAnsi"/>
          <w:bCs/>
        </w:rPr>
        <w:t>l</w:t>
      </w:r>
      <w:r w:rsidRPr="00510598">
        <w:rPr>
          <w:rFonts w:cstheme="minorHAnsi"/>
          <w:bCs/>
        </w:rPr>
        <w:t xml:space="preserve">oss of load </w:t>
      </w:r>
      <w:r w:rsidRPr="0050719B">
        <w:rPr>
          <w:rFonts w:cstheme="minorHAnsi"/>
          <w:bCs/>
        </w:rPr>
        <w:t>risk</w:t>
      </w:r>
      <w:r>
        <w:rPr>
          <w:rFonts w:cstheme="minorHAnsi"/>
        </w:rPr>
        <w:t xml:space="preserve">) </w:t>
      </w:r>
      <w:r w:rsidRPr="0050719B">
        <w:rPr>
          <w:rFonts w:cstheme="minorHAnsi"/>
        </w:rPr>
        <w:t>will be managed by:</w:t>
      </w:r>
    </w:p>
    <w:p w14:paraId="54301843"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t>Limiting long-term positions relative to projected capacity requirements; and</w:t>
      </w:r>
    </w:p>
    <w:p w14:paraId="541FB4D4"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Pr>
          <w:rFonts w:cstheme="minorHAnsi"/>
        </w:rPr>
        <w:t xml:space="preserve">Appropriate management of </w:t>
      </w:r>
      <w:r w:rsidRPr="00E20CFE">
        <w:rPr>
          <w:rFonts w:cstheme="minorHAnsi"/>
        </w:rPr>
        <w:t xml:space="preserve">hourly market price risk. </w:t>
      </w:r>
    </w:p>
    <w:p w14:paraId="5F6917D5" w14:textId="18A83414"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0844A2">
        <w:rPr>
          <w:rFonts w:cstheme="minorHAnsi"/>
        </w:rPr>
        <w:t xml:space="preserve">Environmental Emission Allowances </w:t>
      </w:r>
      <w:r>
        <w:rPr>
          <w:rFonts w:cstheme="minorHAnsi"/>
        </w:rPr>
        <w:t xml:space="preserve">risk will be managed by </w:t>
      </w:r>
      <w:r w:rsidR="004D6A68">
        <w:rPr>
          <w:rFonts w:cstheme="minorHAnsi"/>
        </w:rPr>
        <w:t>KYMEA</w:t>
      </w:r>
      <w:r>
        <w:rPr>
          <w:rFonts w:cstheme="minorHAnsi"/>
        </w:rPr>
        <w:t xml:space="preserve"> or its counterparties by b</w:t>
      </w:r>
      <w:r w:rsidRPr="00CE6DEE">
        <w:rPr>
          <w:rFonts w:cstheme="minorHAnsi"/>
        </w:rPr>
        <w:t>uy</w:t>
      </w:r>
      <w:r>
        <w:rPr>
          <w:rFonts w:cstheme="minorHAnsi"/>
        </w:rPr>
        <w:t>ing</w:t>
      </w:r>
      <w:r w:rsidRPr="00CE6DEE">
        <w:rPr>
          <w:rFonts w:cstheme="minorHAnsi"/>
        </w:rPr>
        <w:t>, sell</w:t>
      </w:r>
      <w:r>
        <w:rPr>
          <w:rFonts w:cstheme="minorHAnsi"/>
        </w:rPr>
        <w:t>ing</w:t>
      </w:r>
      <w:r w:rsidRPr="00CE6DEE">
        <w:rPr>
          <w:rFonts w:cstheme="minorHAnsi"/>
        </w:rPr>
        <w:t xml:space="preserve"> or trad</w:t>
      </w:r>
      <w:r>
        <w:rPr>
          <w:rFonts w:cstheme="minorHAnsi"/>
        </w:rPr>
        <w:t>ing</w:t>
      </w:r>
      <w:r w:rsidRPr="00CE6DEE">
        <w:rPr>
          <w:rFonts w:cstheme="minorHAnsi"/>
        </w:rPr>
        <w:t xml:space="preserve"> emission allowances to assure compliance with the United States Environmental Protection Agency emission limits</w:t>
      </w:r>
      <w:r>
        <w:rPr>
          <w:rFonts w:cstheme="minorHAnsi"/>
        </w:rPr>
        <w:t>.</w:t>
      </w:r>
    </w:p>
    <w:p w14:paraId="5DC43905"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CE6DEE">
        <w:rPr>
          <w:rFonts w:cstheme="minorHAnsi"/>
        </w:rPr>
        <w:t>KYMEA will not purchase, sell or trade emission allowances for speculative purposes.</w:t>
      </w:r>
    </w:p>
    <w:p w14:paraId="4BCC4B35"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CE6DEE">
        <w:rPr>
          <w:rFonts w:cstheme="minorHAnsi"/>
        </w:rPr>
        <w:t xml:space="preserve">KYMEA will maintain a </w:t>
      </w:r>
      <w:proofErr w:type="gramStart"/>
      <w:r w:rsidRPr="00CE6DEE">
        <w:rPr>
          <w:rFonts w:cstheme="minorHAnsi"/>
        </w:rPr>
        <w:t>sufficient</w:t>
      </w:r>
      <w:proofErr w:type="gramEnd"/>
      <w:r w:rsidRPr="00CE6DEE">
        <w:rPr>
          <w:rFonts w:cstheme="minorHAnsi"/>
        </w:rPr>
        <w:t xml:space="preserve"> quantity of allowances necessary to comply with emissions limits relative to its forecasted generation.</w:t>
      </w:r>
    </w:p>
    <w:p w14:paraId="776E1AA6"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F95D69">
        <w:rPr>
          <w:rFonts w:cstheme="minorHAnsi"/>
        </w:rPr>
        <w:t>KYMEA may execute, purchase, sell or trade transactions to achieve the level of emission allowances needed.</w:t>
      </w:r>
    </w:p>
    <w:p w14:paraId="56014FCF"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F95D69">
        <w:rPr>
          <w:rFonts w:cstheme="minorHAnsi"/>
        </w:rPr>
        <w:t>KYMEA will calculate emission allowance needs based on the following:</w:t>
      </w:r>
    </w:p>
    <w:p w14:paraId="0B5F9BA2"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F95D69">
        <w:rPr>
          <w:rFonts w:cstheme="minorHAnsi"/>
        </w:rPr>
        <w:t>Forecasted emissions</w:t>
      </w:r>
      <w:r>
        <w:rPr>
          <w:rFonts w:cstheme="minorHAnsi"/>
        </w:rPr>
        <w:t>;</w:t>
      </w:r>
    </w:p>
    <w:p w14:paraId="6DE24AC0"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5855F9">
        <w:rPr>
          <w:rFonts w:cstheme="minorHAnsi"/>
        </w:rPr>
        <w:t>Allocated emission allowances</w:t>
      </w:r>
      <w:r>
        <w:rPr>
          <w:rFonts w:cstheme="minorHAnsi"/>
        </w:rPr>
        <w:t>; and</w:t>
      </w:r>
    </w:p>
    <w:p w14:paraId="1D5A8ABC" w14:textId="77777777" w:rsidR="00841E87" w:rsidRDefault="00841E87" w:rsidP="007C17D3">
      <w:pPr>
        <w:pStyle w:val="ListParagraph"/>
        <w:widowControl w:val="0"/>
        <w:numPr>
          <w:ilvl w:val="3"/>
          <w:numId w:val="16"/>
        </w:numPr>
        <w:autoSpaceDE w:val="0"/>
        <w:autoSpaceDN w:val="0"/>
        <w:spacing w:before="120" w:after="120" w:line="240" w:lineRule="auto"/>
        <w:contextualSpacing w:val="0"/>
        <w:jc w:val="both"/>
        <w:rPr>
          <w:rFonts w:cstheme="minorHAnsi"/>
        </w:rPr>
      </w:pPr>
      <w:r w:rsidRPr="005855F9">
        <w:rPr>
          <w:rFonts w:cstheme="minorHAnsi"/>
        </w:rPr>
        <w:t>Risk management factor of 20% of forecasted emission allowance needs</w:t>
      </w:r>
      <w:r>
        <w:rPr>
          <w:rFonts w:cstheme="minorHAnsi"/>
        </w:rPr>
        <w:t>.</w:t>
      </w:r>
    </w:p>
    <w:p w14:paraId="3588FFD3" w14:textId="4492DE2A"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5C2352">
        <w:rPr>
          <w:rFonts w:cstheme="minorHAnsi"/>
        </w:rPr>
        <w:t>Written approvals by the Vice President of Market Analytics and the CEO (or other individual responsible for environmental compliance</w:t>
      </w:r>
      <w:r w:rsidR="005A00AE">
        <w:rPr>
          <w:rFonts w:cstheme="minorHAnsi"/>
        </w:rPr>
        <w:t>,</w:t>
      </w:r>
      <w:r w:rsidRPr="005C2352">
        <w:rPr>
          <w:rFonts w:cstheme="minorHAnsi"/>
        </w:rPr>
        <w:t xml:space="preserve"> i.e.</w:t>
      </w:r>
      <w:r w:rsidR="005A00AE">
        <w:rPr>
          <w:rFonts w:cstheme="minorHAnsi"/>
        </w:rPr>
        <w:t>, the</w:t>
      </w:r>
      <w:r w:rsidRPr="005C2352">
        <w:rPr>
          <w:rFonts w:cstheme="minorHAnsi"/>
        </w:rPr>
        <w:t xml:space="preserve"> “Responsible Officer”) must be obtained before any emission allowance transaction is valid and </w:t>
      </w:r>
      <w:proofErr w:type="gramStart"/>
      <w:r w:rsidR="00F46E5D">
        <w:rPr>
          <w:rFonts w:cstheme="minorHAnsi"/>
        </w:rPr>
        <w:t>entered into</w:t>
      </w:r>
      <w:proofErr w:type="gramEnd"/>
      <w:r w:rsidR="00F46E5D">
        <w:rPr>
          <w:rFonts w:cstheme="minorHAnsi"/>
        </w:rPr>
        <w:t xml:space="preserve"> </w:t>
      </w:r>
      <w:r w:rsidRPr="005C2352">
        <w:rPr>
          <w:rFonts w:cstheme="minorHAnsi"/>
        </w:rPr>
        <w:t xml:space="preserve">for KYMEA. Documentation of all analysis </w:t>
      </w:r>
      <w:r w:rsidRPr="005C2352">
        <w:rPr>
          <w:rFonts w:cstheme="minorHAnsi"/>
        </w:rPr>
        <w:lastRenderedPageBreak/>
        <w:t>and calculations will be provided to the IRC for review prior to approval.</w:t>
      </w:r>
    </w:p>
    <w:p w14:paraId="63CB1DF6"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5C2352">
        <w:rPr>
          <w:rFonts w:cstheme="minorHAnsi"/>
        </w:rPr>
        <w:t>All emission allowance transactions will be documented by an agreement signed by authorized representatives of all parties.</w:t>
      </w:r>
    </w:p>
    <w:p w14:paraId="02495E2E"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5C2352">
        <w:rPr>
          <w:rFonts w:cstheme="minorHAnsi"/>
        </w:rPr>
        <w:t>On a quarterly basis an Environmental Emission Allowance report including current balances and actual consumption along with forecasted consumption and future balances will be provided to the IRC.</w:t>
      </w:r>
    </w:p>
    <w:p w14:paraId="53AECF32" w14:textId="07E2A728"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EC47E2">
        <w:rPr>
          <w:rFonts w:cstheme="minorHAnsi"/>
        </w:rPr>
        <w:t xml:space="preserve">Renewable Energy Attributes </w:t>
      </w:r>
      <w:r>
        <w:rPr>
          <w:rFonts w:cstheme="minorHAnsi"/>
        </w:rPr>
        <w:t>risk</w:t>
      </w:r>
      <w:r w:rsidRPr="00A833EA">
        <w:rPr>
          <w:rFonts w:cstheme="minorHAnsi"/>
        </w:rPr>
        <w:t xml:space="preserve"> </w:t>
      </w:r>
      <w:r>
        <w:rPr>
          <w:rFonts w:cstheme="minorHAnsi"/>
        </w:rPr>
        <w:t xml:space="preserve">will be managed by </w:t>
      </w:r>
      <w:r w:rsidR="004D6A68">
        <w:rPr>
          <w:rFonts w:cstheme="minorHAnsi"/>
        </w:rPr>
        <w:t>KYMEA</w:t>
      </w:r>
      <w:r>
        <w:rPr>
          <w:rFonts w:cstheme="minorHAnsi"/>
        </w:rPr>
        <w:t xml:space="preserve"> or its counterparties by</w:t>
      </w:r>
      <w:r w:rsidRPr="00EC47E2">
        <w:rPr>
          <w:rFonts w:cstheme="minorHAnsi"/>
        </w:rPr>
        <w:t xml:space="preserve"> buy</w:t>
      </w:r>
      <w:r>
        <w:rPr>
          <w:rFonts w:cstheme="minorHAnsi"/>
        </w:rPr>
        <w:t>ing</w:t>
      </w:r>
      <w:r w:rsidRPr="00EC47E2">
        <w:rPr>
          <w:rFonts w:cstheme="minorHAnsi"/>
        </w:rPr>
        <w:t>, sell</w:t>
      </w:r>
      <w:r>
        <w:rPr>
          <w:rFonts w:cstheme="minorHAnsi"/>
        </w:rPr>
        <w:t xml:space="preserve">ing </w:t>
      </w:r>
      <w:r w:rsidRPr="00EC47E2">
        <w:rPr>
          <w:rFonts w:cstheme="minorHAnsi"/>
        </w:rPr>
        <w:t>or trad</w:t>
      </w:r>
      <w:r>
        <w:rPr>
          <w:rFonts w:cstheme="minorHAnsi"/>
        </w:rPr>
        <w:t>ing</w:t>
      </w:r>
      <w:r w:rsidRPr="00EC47E2">
        <w:rPr>
          <w:rFonts w:cstheme="minorHAnsi"/>
        </w:rPr>
        <w:t xml:space="preserve"> Renewable Energy Attributes to provide financial benefit to KYMEA and to assure compliance with any applicable regulations or standards that may be implemented.</w:t>
      </w:r>
    </w:p>
    <w:p w14:paraId="744F8BC0" w14:textId="5161BFB5"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EC47E2">
        <w:rPr>
          <w:rFonts w:cstheme="minorHAnsi"/>
        </w:rPr>
        <w:t>If a mandat</w:t>
      </w:r>
      <w:r w:rsidR="00FD24F2">
        <w:rPr>
          <w:rFonts w:cstheme="minorHAnsi"/>
        </w:rPr>
        <w:t>ory</w:t>
      </w:r>
      <w:r w:rsidRPr="00EC47E2">
        <w:rPr>
          <w:rFonts w:cstheme="minorHAnsi"/>
        </w:rPr>
        <w:t xml:space="preserve"> renewable energy standard is implemented, KYMEA will maintain </w:t>
      </w:r>
      <w:proofErr w:type="gramStart"/>
      <w:r w:rsidRPr="00EC47E2">
        <w:rPr>
          <w:rFonts w:cstheme="minorHAnsi"/>
        </w:rPr>
        <w:t>sufficient</w:t>
      </w:r>
      <w:proofErr w:type="gramEnd"/>
      <w:r w:rsidRPr="00EC47E2">
        <w:rPr>
          <w:rFonts w:cstheme="minorHAnsi"/>
        </w:rPr>
        <w:t xml:space="preserve"> quantit</w:t>
      </w:r>
      <w:r>
        <w:rPr>
          <w:rFonts w:cstheme="minorHAnsi"/>
        </w:rPr>
        <w:t>ies</w:t>
      </w:r>
      <w:r w:rsidRPr="00EC47E2">
        <w:rPr>
          <w:rFonts w:cstheme="minorHAnsi"/>
        </w:rPr>
        <w:t xml:space="preserve"> of Attributes necessary to comply with the standard.</w:t>
      </w:r>
    </w:p>
    <w:p w14:paraId="2AB14CBF"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DD1174">
        <w:rPr>
          <w:rFonts w:cstheme="minorHAnsi"/>
        </w:rPr>
        <w:t xml:space="preserve">The Vice President of Market Analytics or Responsible Officer will have responsibility for maintaining KYMEA’s Renewable </w:t>
      </w:r>
      <w:r>
        <w:rPr>
          <w:rFonts w:cstheme="minorHAnsi"/>
        </w:rPr>
        <w:t xml:space="preserve">Energy </w:t>
      </w:r>
      <w:r w:rsidRPr="00DD1174">
        <w:rPr>
          <w:rFonts w:cstheme="minorHAnsi"/>
        </w:rPr>
        <w:t xml:space="preserve">Attributes inventory from all sources and making recommendations to hold, buy, or sell </w:t>
      </w:r>
      <w:r>
        <w:rPr>
          <w:rFonts w:cstheme="minorHAnsi"/>
        </w:rPr>
        <w:t>such attributes</w:t>
      </w:r>
      <w:r w:rsidRPr="00DD1174">
        <w:rPr>
          <w:rFonts w:cstheme="minorHAnsi"/>
        </w:rPr>
        <w:t xml:space="preserve">. Renewable </w:t>
      </w:r>
      <w:r>
        <w:rPr>
          <w:rFonts w:cstheme="minorHAnsi"/>
        </w:rPr>
        <w:t xml:space="preserve">Energy </w:t>
      </w:r>
      <w:r w:rsidRPr="00DD1174">
        <w:rPr>
          <w:rFonts w:cstheme="minorHAnsi"/>
        </w:rPr>
        <w:t xml:space="preserve">Attribute sources may include, but are not limited to landfill gas, solar, wind, biomass, and other generation sources. </w:t>
      </w:r>
    </w:p>
    <w:p w14:paraId="6EDA08EF" w14:textId="1D334C60"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152429">
        <w:rPr>
          <w:rFonts w:cstheme="minorHAnsi"/>
        </w:rPr>
        <w:t>On a quarterly basis the Vice President of Market Analytics or Responsible Officer will report to the IRC Committee</w:t>
      </w:r>
      <w:r w:rsidR="00FD24F2">
        <w:rPr>
          <w:rFonts w:cstheme="minorHAnsi"/>
        </w:rPr>
        <w:t xml:space="preserve"> regarding</w:t>
      </w:r>
      <w:r w:rsidRPr="00152429">
        <w:rPr>
          <w:rFonts w:cstheme="minorHAnsi"/>
        </w:rPr>
        <w:t xml:space="preserve"> KYMEA’s Renewable </w:t>
      </w:r>
      <w:r>
        <w:rPr>
          <w:rFonts w:cstheme="minorHAnsi"/>
        </w:rPr>
        <w:t xml:space="preserve">Energy </w:t>
      </w:r>
      <w:r w:rsidRPr="00152429">
        <w:rPr>
          <w:rFonts w:cstheme="minorHAnsi"/>
        </w:rPr>
        <w:t xml:space="preserve">Attributes inventory and make a recommendation to hold, buy or sell </w:t>
      </w:r>
      <w:r>
        <w:rPr>
          <w:rFonts w:cstheme="minorHAnsi"/>
        </w:rPr>
        <w:t>such attributes</w:t>
      </w:r>
      <w:r w:rsidRPr="00152429">
        <w:rPr>
          <w:rFonts w:cstheme="minorHAnsi"/>
        </w:rPr>
        <w:t xml:space="preserve">. If a recommendation to buy or sell </w:t>
      </w:r>
      <w:r>
        <w:rPr>
          <w:rFonts w:cstheme="minorHAnsi"/>
        </w:rPr>
        <w:t>such attributes</w:t>
      </w:r>
      <w:r w:rsidRPr="00152429">
        <w:rPr>
          <w:rFonts w:cstheme="minorHAnsi"/>
        </w:rPr>
        <w:t xml:space="preserve"> is made, the Re</w:t>
      </w:r>
      <w:r>
        <w:rPr>
          <w:rFonts w:cstheme="minorHAnsi"/>
        </w:rPr>
        <w:t>sponsible Officer</w:t>
      </w:r>
      <w:r w:rsidRPr="00152429">
        <w:rPr>
          <w:rFonts w:cstheme="minorHAnsi"/>
        </w:rPr>
        <w:t xml:space="preserve"> will provide all necessary documentation for consideration by the IRC. </w:t>
      </w:r>
    </w:p>
    <w:p w14:paraId="3D95B8F4" w14:textId="2E04636A"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152429">
        <w:rPr>
          <w:rFonts w:cstheme="minorHAnsi"/>
        </w:rPr>
        <w:t>Written approvals by the Vice President of Market Analytics and CEO must be obtained before any Renewable Energy Attributes transaction is presented to IRC. Once this approval is obtained, documentation of all analysis and calculations will be provided to the IRC</w:t>
      </w:r>
      <w:r w:rsidR="00863F69">
        <w:rPr>
          <w:rFonts w:cstheme="minorHAnsi"/>
        </w:rPr>
        <w:t>,</w:t>
      </w:r>
      <w:r w:rsidRPr="00152429">
        <w:rPr>
          <w:rFonts w:cstheme="minorHAnsi"/>
        </w:rPr>
        <w:t xml:space="preserve"> and a request for IRC approval of the transaction will be requested</w:t>
      </w:r>
      <w:r>
        <w:rPr>
          <w:rFonts w:cstheme="minorHAnsi"/>
        </w:rPr>
        <w:t>.</w:t>
      </w:r>
    </w:p>
    <w:p w14:paraId="33E5337F" w14:textId="77777777" w:rsidR="00841E87" w:rsidRDefault="00841E87" w:rsidP="007C17D3">
      <w:pPr>
        <w:pStyle w:val="ListParagraph"/>
        <w:widowControl w:val="0"/>
        <w:numPr>
          <w:ilvl w:val="2"/>
          <w:numId w:val="16"/>
        </w:numPr>
        <w:autoSpaceDE w:val="0"/>
        <w:autoSpaceDN w:val="0"/>
        <w:spacing w:before="120" w:after="120" w:line="240" w:lineRule="auto"/>
        <w:contextualSpacing w:val="0"/>
        <w:jc w:val="both"/>
        <w:rPr>
          <w:rFonts w:cstheme="minorHAnsi"/>
        </w:rPr>
      </w:pPr>
      <w:r w:rsidRPr="005A686A">
        <w:rPr>
          <w:rFonts w:cstheme="minorHAnsi"/>
        </w:rPr>
        <w:t xml:space="preserve">All Renewable </w:t>
      </w:r>
      <w:r>
        <w:rPr>
          <w:rFonts w:cstheme="minorHAnsi"/>
        </w:rPr>
        <w:t xml:space="preserve">Energy </w:t>
      </w:r>
      <w:r w:rsidRPr="005A686A">
        <w:rPr>
          <w:rFonts w:cstheme="minorHAnsi"/>
        </w:rPr>
        <w:t>Attributes transactions will be documented by an agreement signed by authorized representatives of all parties.</w:t>
      </w:r>
    </w:p>
    <w:p w14:paraId="7AF55438" w14:textId="77777777" w:rsidR="00841E87" w:rsidRPr="00106233"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106233">
        <w:rPr>
          <w:rFonts w:cstheme="minorHAnsi"/>
          <w:color w:val="000000" w:themeColor="text1"/>
        </w:rPr>
        <w:t>Internal Controls</w:t>
      </w:r>
    </w:p>
    <w:p w14:paraId="30ACD451" w14:textId="7966991E"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106233">
        <w:rPr>
          <w:rFonts w:cstheme="minorHAnsi"/>
        </w:rPr>
        <w:t xml:space="preserve">In addition to the authorization of acceptable instruments, limits, and credit standards, a segregation of departmental responsibilities shall be established to verify and reconcile the </w:t>
      </w:r>
      <w:r w:rsidR="00863F69">
        <w:rPr>
          <w:rFonts w:cstheme="minorHAnsi"/>
        </w:rPr>
        <w:t>adherence</w:t>
      </w:r>
      <w:r w:rsidR="00863F69" w:rsidRPr="00106233">
        <w:rPr>
          <w:rFonts w:cstheme="minorHAnsi"/>
        </w:rPr>
        <w:t xml:space="preserve"> </w:t>
      </w:r>
      <w:r w:rsidRPr="00106233">
        <w:rPr>
          <w:rFonts w:cstheme="minorHAnsi"/>
        </w:rPr>
        <w:t>of KYMEA’s activities</w:t>
      </w:r>
      <w:r>
        <w:rPr>
          <w:rFonts w:cstheme="minorHAnsi"/>
        </w:rPr>
        <w:t xml:space="preserve"> to its </w:t>
      </w:r>
      <w:r w:rsidR="00863F69">
        <w:rPr>
          <w:rFonts w:cstheme="minorHAnsi"/>
        </w:rPr>
        <w:t xml:space="preserve">Enterprise </w:t>
      </w:r>
      <w:r>
        <w:rPr>
          <w:rFonts w:cstheme="minorHAnsi"/>
        </w:rPr>
        <w:t>Risk Management Policy</w:t>
      </w:r>
      <w:r w:rsidRPr="00106233">
        <w:rPr>
          <w:rFonts w:cstheme="minorHAnsi"/>
        </w:rPr>
        <w:t xml:space="preserve">. </w:t>
      </w:r>
    </w:p>
    <w:p w14:paraId="7159F785" w14:textId="700D1C44"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6C2AA5">
        <w:rPr>
          <w:rFonts w:cstheme="minorHAnsi"/>
        </w:rPr>
        <w:t xml:space="preserve">The Risk Management Procedures shall specify a clear separation between transacting, credit review and approval, margining and cash settlements, and accounting. </w:t>
      </w:r>
    </w:p>
    <w:p w14:paraId="2379B030" w14:textId="77777777"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6C2AA5">
        <w:rPr>
          <w:rFonts w:cstheme="minorHAnsi"/>
        </w:rPr>
        <w:lastRenderedPageBreak/>
        <w:t>Conflicts of Interest</w:t>
      </w:r>
    </w:p>
    <w:p w14:paraId="0E68F97B" w14:textId="7C4139B7"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6C2AA5">
        <w:rPr>
          <w:rFonts w:cstheme="minorHAnsi"/>
        </w:rPr>
        <w:t>Personnel responsible for executing and managing KYMEA’s trading activity will not engage in nor give the appearance of engaging in personal business activity that could conflict with the proper execution of the Energy Risk Management P</w:t>
      </w:r>
      <w:r>
        <w:rPr>
          <w:rFonts w:cstheme="minorHAnsi"/>
        </w:rPr>
        <w:t>olicy</w:t>
      </w:r>
      <w:r w:rsidRPr="006C2AA5">
        <w:rPr>
          <w:rFonts w:cstheme="minorHAnsi"/>
        </w:rPr>
        <w:t xml:space="preserve"> or which could impair their ability to make impartial decisions</w:t>
      </w:r>
      <w:r>
        <w:rPr>
          <w:rFonts w:cstheme="minorHAnsi"/>
        </w:rPr>
        <w:t xml:space="preserve"> regarding energy activities</w:t>
      </w:r>
      <w:r w:rsidRPr="006C2AA5">
        <w:rPr>
          <w:rFonts w:cstheme="minorHAnsi"/>
        </w:rPr>
        <w:t>. These personnel shall disclose to the C</w:t>
      </w:r>
      <w:r>
        <w:rPr>
          <w:rFonts w:cstheme="minorHAnsi"/>
        </w:rPr>
        <w:t>FO</w:t>
      </w:r>
      <w:r w:rsidRPr="006C2AA5">
        <w:rPr>
          <w:rFonts w:cstheme="minorHAnsi"/>
        </w:rPr>
        <w:t xml:space="preserve"> any material financial interests in financial institutions </w:t>
      </w:r>
      <w:r w:rsidR="00E45ACE">
        <w:rPr>
          <w:rFonts w:cstheme="minorHAnsi"/>
        </w:rPr>
        <w:t>or other entities</w:t>
      </w:r>
      <w:r w:rsidR="0051448F">
        <w:rPr>
          <w:rFonts w:cstheme="minorHAnsi"/>
        </w:rPr>
        <w:t xml:space="preserve"> </w:t>
      </w:r>
      <w:r w:rsidRPr="006C2AA5">
        <w:rPr>
          <w:rFonts w:cstheme="minorHAnsi"/>
        </w:rPr>
        <w:t xml:space="preserve">that conduct business with KYMEA, and they shall further disclose any </w:t>
      </w:r>
      <w:r w:rsidR="0051448F">
        <w:rPr>
          <w:rFonts w:cstheme="minorHAnsi"/>
        </w:rPr>
        <w:t>material</w:t>
      </w:r>
      <w:r w:rsidR="00412C46">
        <w:rPr>
          <w:rFonts w:cstheme="minorHAnsi"/>
        </w:rPr>
        <w:t xml:space="preserve"> </w:t>
      </w:r>
      <w:r w:rsidRPr="006C2AA5">
        <w:rPr>
          <w:rFonts w:cstheme="minorHAnsi"/>
        </w:rPr>
        <w:t xml:space="preserve">personal investment positions that could be related to the performance </w:t>
      </w:r>
      <w:r w:rsidR="00C32E4A">
        <w:rPr>
          <w:rFonts w:cstheme="minorHAnsi"/>
        </w:rPr>
        <w:t xml:space="preserve">or financial health </w:t>
      </w:r>
      <w:r w:rsidRPr="006C2AA5">
        <w:rPr>
          <w:rFonts w:cstheme="minorHAnsi"/>
        </w:rPr>
        <w:t>of KYMEA.</w:t>
      </w:r>
    </w:p>
    <w:p w14:paraId="6C37A791" w14:textId="77777777" w:rsidR="00841E87" w:rsidRDefault="00841E87" w:rsidP="007C17D3">
      <w:pPr>
        <w:pStyle w:val="ListParagraph"/>
        <w:widowControl w:val="0"/>
        <w:numPr>
          <w:ilvl w:val="0"/>
          <w:numId w:val="16"/>
        </w:numPr>
        <w:autoSpaceDE w:val="0"/>
        <w:autoSpaceDN w:val="0"/>
        <w:spacing w:before="120" w:after="120" w:line="240" w:lineRule="auto"/>
        <w:contextualSpacing w:val="0"/>
        <w:jc w:val="both"/>
        <w:rPr>
          <w:rFonts w:cstheme="minorHAnsi"/>
        </w:rPr>
      </w:pPr>
      <w:r w:rsidRPr="00AC5E78">
        <w:rPr>
          <w:rFonts w:cstheme="minorHAnsi"/>
        </w:rPr>
        <w:t>Policy Review</w:t>
      </w:r>
    </w:p>
    <w:p w14:paraId="2E24553F" w14:textId="6D500F9F"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AC5E78">
        <w:rPr>
          <w:rFonts w:cstheme="minorHAnsi"/>
        </w:rPr>
        <w:t>At least once during the first 12 months following approval of this</w:t>
      </w:r>
      <w:r w:rsidR="00C32E4A">
        <w:rPr>
          <w:rFonts w:cstheme="minorHAnsi"/>
        </w:rPr>
        <w:t xml:space="preserve"> Enterprise</w:t>
      </w:r>
      <w:r w:rsidRPr="00AC5E78">
        <w:rPr>
          <w:rFonts w:cstheme="minorHAnsi"/>
        </w:rPr>
        <w:t xml:space="preserve"> </w:t>
      </w:r>
      <w:r>
        <w:rPr>
          <w:rFonts w:cstheme="minorHAnsi"/>
        </w:rPr>
        <w:t>Risk Management</w:t>
      </w:r>
      <w:r w:rsidRPr="00AC5E78">
        <w:rPr>
          <w:rFonts w:cstheme="minorHAnsi"/>
        </w:rPr>
        <w:t xml:space="preserve"> Policy and on an annual basis subsequently, the IRC will review </w:t>
      </w:r>
      <w:r>
        <w:rPr>
          <w:rFonts w:cstheme="minorHAnsi"/>
        </w:rPr>
        <w:t>the</w:t>
      </w:r>
      <w:r w:rsidR="00C32E4A">
        <w:rPr>
          <w:rFonts w:cstheme="minorHAnsi"/>
        </w:rPr>
        <w:t xml:space="preserve"> Enterpri</w:t>
      </w:r>
      <w:r w:rsidR="0028285E">
        <w:rPr>
          <w:rFonts w:cstheme="minorHAnsi"/>
        </w:rPr>
        <w:t>se</w:t>
      </w:r>
      <w:r>
        <w:rPr>
          <w:rFonts w:cstheme="minorHAnsi"/>
        </w:rPr>
        <w:t xml:space="preserve"> Risk Management Policy</w:t>
      </w:r>
      <w:r w:rsidRPr="00AC5E78">
        <w:rPr>
          <w:rFonts w:cstheme="minorHAnsi"/>
        </w:rPr>
        <w:t xml:space="preserve"> and </w:t>
      </w:r>
      <w:r w:rsidR="004D6A68">
        <w:rPr>
          <w:rFonts w:cstheme="minorHAnsi"/>
        </w:rPr>
        <w:t>will</w:t>
      </w:r>
      <w:r w:rsidR="004D6A68" w:rsidRPr="00AC5E78">
        <w:rPr>
          <w:rFonts w:cstheme="minorHAnsi"/>
        </w:rPr>
        <w:t xml:space="preserve"> </w:t>
      </w:r>
      <w:r w:rsidRPr="00AC5E78">
        <w:rPr>
          <w:rFonts w:cstheme="minorHAnsi"/>
        </w:rPr>
        <w:t>make a recommendation to the B</w:t>
      </w:r>
      <w:r>
        <w:rPr>
          <w:rFonts w:cstheme="minorHAnsi"/>
        </w:rPr>
        <w:t>ROC</w:t>
      </w:r>
      <w:r w:rsidRPr="00AC5E78">
        <w:rPr>
          <w:rFonts w:cstheme="minorHAnsi"/>
        </w:rPr>
        <w:t xml:space="preserve"> on the adequacy of the </w:t>
      </w:r>
      <w:r w:rsidR="0028285E">
        <w:rPr>
          <w:rFonts w:cstheme="minorHAnsi"/>
        </w:rPr>
        <w:t xml:space="preserve">Enterprise </w:t>
      </w:r>
      <w:r>
        <w:rPr>
          <w:rFonts w:cstheme="minorHAnsi"/>
        </w:rPr>
        <w:t>Risk Management Policy</w:t>
      </w:r>
      <w:r w:rsidRPr="00AC5E78">
        <w:rPr>
          <w:rFonts w:cstheme="minorHAnsi"/>
        </w:rPr>
        <w:t xml:space="preserve"> and any changes</w:t>
      </w:r>
      <w:r>
        <w:rPr>
          <w:rFonts w:cstheme="minorHAnsi"/>
        </w:rPr>
        <w:t xml:space="preserve"> which should be considered</w:t>
      </w:r>
      <w:r w:rsidRPr="00AC5E78">
        <w:rPr>
          <w:rFonts w:cstheme="minorHAnsi"/>
        </w:rPr>
        <w:t xml:space="preserve">. </w:t>
      </w:r>
    </w:p>
    <w:p w14:paraId="42E71732" w14:textId="7B25FB98" w:rsidR="00841E87" w:rsidRDefault="00841E87" w:rsidP="007C17D3">
      <w:pPr>
        <w:pStyle w:val="ListParagraph"/>
        <w:widowControl w:val="0"/>
        <w:numPr>
          <w:ilvl w:val="1"/>
          <w:numId w:val="16"/>
        </w:numPr>
        <w:autoSpaceDE w:val="0"/>
        <w:autoSpaceDN w:val="0"/>
        <w:spacing w:before="120" w:after="120" w:line="240" w:lineRule="auto"/>
        <w:contextualSpacing w:val="0"/>
        <w:jc w:val="both"/>
        <w:rPr>
          <w:rFonts w:cstheme="minorHAnsi"/>
        </w:rPr>
      </w:pPr>
      <w:r w:rsidRPr="00AC5E78">
        <w:rPr>
          <w:rFonts w:cstheme="minorHAnsi"/>
        </w:rPr>
        <w:t xml:space="preserve">Any recommended changes to the </w:t>
      </w:r>
      <w:r w:rsidR="0028285E">
        <w:rPr>
          <w:rFonts w:cstheme="minorHAnsi"/>
        </w:rPr>
        <w:t xml:space="preserve">Enterprise </w:t>
      </w:r>
      <w:r>
        <w:rPr>
          <w:rFonts w:cstheme="minorHAnsi"/>
        </w:rPr>
        <w:t>Risk Management Policy</w:t>
      </w:r>
      <w:r w:rsidRPr="00AC5E78">
        <w:rPr>
          <w:rFonts w:cstheme="minorHAnsi"/>
        </w:rPr>
        <w:t xml:space="preserve"> will be brought to the KYMEA </w:t>
      </w:r>
      <w:r>
        <w:rPr>
          <w:rFonts w:cstheme="minorHAnsi"/>
        </w:rPr>
        <w:t xml:space="preserve">Board </w:t>
      </w:r>
      <w:r w:rsidRPr="00AC5E78">
        <w:rPr>
          <w:rFonts w:cstheme="minorHAnsi"/>
        </w:rPr>
        <w:t>by the B</w:t>
      </w:r>
      <w:r>
        <w:rPr>
          <w:rFonts w:cstheme="minorHAnsi"/>
        </w:rPr>
        <w:t>ROC</w:t>
      </w:r>
      <w:r w:rsidRPr="00AC5E78">
        <w:rPr>
          <w:rFonts w:cstheme="minorHAnsi"/>
        </w:rPr>
        <w:t xml:space="preserve"> for </w:t>
      </w:r>
      <w:r>
        <w:rPr>
          <w:rFonts w:cstheme="minorHAnsi"/>
        </w:rPr>
        <w:t xml:space="preserve">consideration and </w:t>
      </w:r>
      <w:r w:rsidRPr="00AC5E78">
        <w:rPr>
          <w:rFonts w:cstheme="minorHAnsi"/>
        </w:rPr>
        <w:t>approval.</w:t>
      </w:r>
    </w:p>
    <w:p w14:paraId="3671B3AE" w14:textId="77777777" w:rsidR="00841E87" w:rsidRDefault="00841E87" w:rsidP="00841E87">
      <w:pPr>
        <w:spacing w:before="120" w:after="120"/>
        <w:jc w:val="both"/>
        <w:rPr>
          <w:rFonts w:cstheme="minorHAnsi"/>
        </w:rPr>
      </w:pPr>
    </w:p>
    <w:p w14:paraId="4306DDDF" w14:textId="77777777" w:rsidR="00841E87" w:rsidRDefault="00841E87" w:rsidP="00841E87">
      <w:pPr>
        <w:spacing w:before="120" w:after="120"/>
        <w:jc w:val="both"/>
        <w:rPr>
          <w:rFonts w:cstheme="minorHAnsi"/>
        </w:rPr>
      </w:pPr>
    </w:p>
    <w:p w14:paraId="797A8EAC" w14:textId="77777777" w:rsidR="00841E87" w:rsidRDefault="00841E87" w:rsidP="00841E87">
      <w:pPr>
        <w:spacing w:before="120" w:after="120"/>
        <w:jc w:val="both"/>
        <w:rPr>
          <w:rFonts w:cstheme="minorHAnsi"/>
        </w:rPr>
      </w:pPr>
    </w:p>
    <w:p w14:paraId="6DC05471" w14:textId="77777777" w:rsidR="00841E87" w:rsidRDefault="00841E87" w:rsidP="00841E87">
      <w:pPr>
        <w:spacing w:before="120" w:after="120"/>
        <w:jc w:val="both"/>
        <w:rPr>
          <w:rFonts w:cstheme="minorHAnsi"/>
        </w:rPr>
      </w:pPr>
    </w:p>
    <w:p w14:paraId="06746BEA" w14:textId="77777777" w:rsidR="00841E87" w:rsidRDefault="00841E87" w:rsidP="00841E87">
      <w:pPr>
        <w:spacing w:before="120" w:after="120"/>
        <w:jc w:val="both"/>
        <w:rPr>
          <w:rFonts w:cstheme="minorHAnsi"/>
        </w:rPr>
      </w:pPr>
    </w:p>
    <w:p w14:paraId="3B5CA309" w14:textId="77777777" w:rsidR="00841E87" w:rsidRDefault="00841E87" w:rsidP="00841E87">
      <w:pPr>
        <w:spacing w:before="120" w:after="120"/>
        <w:jc w:val="both"/>
        <w:rPr>
          <w:rFonts w:cstheme="minorHAnsi"/>
        </w:rPr>
      </w:pPr>
    </w:p>
    <w:p w14:paraId="6BE75E7E" w14:textId="77777777" w:rsidR="00841E87" w:rsidRDefault="00841E87" w:rsidP="00841E87">
      <w:pPr>
        <w:spacing w:before="120" w:after="120"/>
        <w:jc w:val="both"/>
        <w:rPr>
          <w:rFonts w:cstheme="minorHAnsi"/>
        </w:rPr>
      </w:pPr>
    </w:p>
    <w:p w14:paraId="2620F9E4" w14:textId="77777777" w:rsidR="00841E87" w:rsidRDefault="00841E87" w:rsidP="00841E87">
      <w:pPr>
        <w:spacing w:before="120" w:after="120"/>
        <w:jc w:val="both"/>
        <w:rPr>
          <w:rFonts w:cstheme="minorHAnsi"/>
        </w:rPr>
      </w:pPr>
    </w:p>
    <w:p w14:paraId="5A1F6BE1" w14:textId="77777777" w:rsidR="00841E87" w:rsidRDefault="00841E87" w:rsidP="00841E87">
      <w:pPr>
        <w:spacing w:before="120" w:after="120"/>
        <w:jc w:val="both"/>
        <w:rPr>
          <w:rFonts w:cstheme="minorHAnsi"/>
        </w:rPr>
      </w:pPr>
    </w:p>
    <w:p w14:paraId="027A7E98" w14:textId="4AAA8451" w:rsidR="00841E87" w:rsidRDefault="00841E87" w:rsidP="00841E87">
      <w:pPr>
        <w:spacing w:before="120" w:after="120"/>
        <w:jc w:val="both"/>
        <w:rPr>
          <w:rFonts w:cstheme="minorHAnsi"/>
        </w:rPr>
      </w:pPr>
    </w:p>
    <w:p w14:paraId="0AA30606" w14:textId="7477DA17" w:rsidR="009338AC" w:rsidRDefault="009338AC" w:rsidP="00841E87">
      <w:pPr>
        <w:spacing w:before="120" w:after="120"/>
        <w:jc w:val="both"/>
        <w:rPr>
          <w:rFonts w:cstheme="minorHAnsi"/>
        </w:rPr>
      </w:pPr>
    </w:p>
    <w:p w14:paraId="34F6AC6D" w14:textId="66908443" w:rsidR="009338AC" w:rsidRDefault="009338AC" w:rsidP="00841E87">
      <w:pPr>
        <w:spacing w:before="120" w:after="120"/>
        <w:jc w:val="both"/>
        <w:rPr>
          <w:rFonts w:cstheme="minorHAnsi"/>
        </w:rPr>
      </w:pPr>
    </w:p>
    <w:p w14:paraId="512EF40D" w14:textId="2FC373A5" w:rsidR="00827BD0" w:rsidRDefault="00827BD0" w:rsidP="00841E87">
      <w:pPr>
        <w:spacing w:before="120" w:after="120"/>
        <w:jc w:val="both"/>
        <w:rPr>
          <w:rFonts w:cstheme="minorHAnsi"/>
        </w:rPr>
      </w:pPr>
    </w:p>
    <w:p w14:paraId="78383B62" w14:textId="6EDE9737" w:rsidR="00827BD0" w:rsidRDefault="00827BD0" w:rsidP="00841E87">
      <w:pPr>
        <w:spacing w:before="120" w:after="120"/>
        <w:jc w:val="both"/>
        <w:rPr>
          <w:rFonts w:cstheme="minorHAnsi"/>
        </w:rPr>
      </w:pPr>
    </w:p>
    <w:p w14:paraId="6C5C06F9" w14:textId="77777777" w:rsidR="00827BD0" w:rsidRDefault="00827BD0" w:rsidP="00841E87">
      <w:pPr>
        <w:spacing w:before="120" w:after="120"/>
        <w:jc w:val="both"/>
        <w:rPr>
          <w:rFonts w:cstheme="minorHAnsi"/>
        </w:rPr>
      </w:pPr>
    </w:p>
    <w:p w14:paraId="30573741" w14:textId="3D025A37" w:rsidR="00841E87" w:rsidRDefault="00841E87" w:rsidP="00841E87">
      <w:pPr>
        <w:spacing w:before="120" w:after="120"/>
        <w:jc w:val="both"/>
        <w:rPr>
          <w:rFonts w:cstheme="minorHAnsi"/>
        </w:rPr>
      </w:pPr>
    </w:p>
    <w:p w14:paraId="1067F789" w14:textId="0BA88683" w:rsidR="00FE74F9" w:rsidRDefault="00FE74F9" w:rsidP="00FE74F9">
      <w:pPr>
        <w:pStyle w:val="Heading1"/>
      </w:pPr>
      <w:bookmarkStart w:id="15" w:name="_Toc8811584"/>
      <w:r>
        <w:lastRenderedPageBreak/>
        <w:t>SECTION 1.</w:t>
      </w:r>
      <w:r w:rsidR="00393BBA">
        <w:t>8</w:t>
      </w:r>
      <w:bookmarkEnd w:id="15"/>
    </w:p>
    <w:p w14:paraId="7BB2562F" w14:textId="2647C0F3" w:rsidR="00841E87" w:rsidRDefault="00FE74F9" w:rsidP="001E7866">
      <w:pPr>
        <w:pStyle w:val="Heading3"/>
      </w:pPr>
      <w:bookmarkStart w:id="16" w:name="_Toc8811585"/>
      <w:r>
        <w:t>Financial Risk management Policy</w:t>
      </w:r>
      <w:bookmarkEnd w:id="16"/>
    </w:p>
    <w:p w14:paraId="03A14289" w14:textId="7F35EA81" w:rsidR="00841E87" w:rsidRPr="00E72935" w:rsidRDefault="00841E87" w:rsidP="007C17D3">
      <w:pPr>
        <w:pStyle w:val="ListParagraph"/>
        <w:widowControl w:val="0"/>
        <w:numPr>
          <w:ilvl w:val="0"/>
          <w:numId w:val="18"/>
        </w:numPr>
        <w:autoSpaceDE w:val="0"/>
        <w:autoSpaceDN w:val="0"/>
        <w:spacing w:after="0" w:line="240" w:lineRule="auto"/>
        <w:ind w:left="360" w:hanging="270"/>
        <w:contextualSpacing w:val="0"/>
        <w:jc w:val="both"/>
        <w:rPr>
          <w:rFonts w:cstheme="minorHAnsi"/>
          <w:szCs w:val="24"/>
        </w:rPr>
      </w:pPr>
      <w:r w:rsidRPr="00B51D2F">
        <w:t xml:space="preserve">The purpose of the Financial Risk Management Policy is to assure KYMEA remains capable of </w:t>
      </w:r>
      <w:r w:rsidRPr="00E72935">
        <w:rPr>
          <w:rFonts w:cstheme="minorHAnsi"/>
          <w:szCs w:val="24"/>
        </w:rPr>
        <w:t xml:space="preserve">maintaining a strong financial base </w:t>
      </w:r>
      <w:proofErr w:type="gramStart"/>
      <w:r w:rsidRPr="00E72935">
        <w:rPr>
          <w:rFonts w:cstheme="minorHAnsi"/>
          <w:szCs w:val="24"/>
        </w:rPr>
        <w:t>sufficient</w:t>
      </w:r>
      <w:proofErr w:type="gramEnd"/>
      <w:r w:rsidRPr="00E72935">
        <w:rPr>
          <w:rFonts w:cstheme="minorHAnsi"/>
          <w:szCs w:val="24"/>
        </w:rPr>
        <w:t xml:space="preserve"> to sustain KYMEA’s services to its </w:t>
      </w:r>
      <w:r w:rsidR="00B71344" w:rsidRPr="00E72935">
        <w:rPr>
          <w:rFonts w:cstheme="minorHAnsi"/>
          <w:szCs w:val="24"/>
        </w:rPr>
        <w:t>m</w:t>
      </w:r>
      <w:r w:rsidRPr="00E72935">
        <w:rPr>
          <w:rFonts w:cstheme="minorHAnsi"/>
          <w:szCs w:val="24"/>
        </w:rPr>
        <w:t>embers by</w:t>
      </w:r>
      <w:r w:rsidR="00412C46" w:rsidRPr="00E72935">
        <w:rPr>
          <w:rFonts w:cstheme="minorHAnsi"/>
          <w:szCs w:val="24"/>
        </w:rPr>
        <w:t>:</w:t>
      </w:r>
    </w:p>
    <w:p w14:paraId="0CCB2656" w14:textId="52726035" w:rsidR="00841E87" w:rsidRPr="00E72935" w:rsidRDefault="00841E87" w:rsidP="007C17D3">
      <w:pPr>
        <w:pStyle w:val="ListParagraph"/>
        <w:widowControl w:val="0"/>
        <w:numPr>
          <w:ilvl w:val="1"/>
          <w:numId w:val="18"/>
        </w:numPr>
        <w:autoSpaceDE w:val="0"/>
        <w:autoSpaceDN w:val="0"/>
        <w:spacing w:after="0" w:line="240" w:lineRule="auto"/>
        <w:ind w:left="1080"/>
        <w:contextualSpacing w:val="0"/>
        <w:jc w:val="both"/>
        <w:rPr>
          <w:rFonts w:cstheme="minorHAnsi"/>
          <w:szCs w:val="24"/>
        </w:rPr>
      </w:pPr>
      <w:r w:rsidRPr="00E72935">
        <w:rPr>
          <w:rFonts w:cstheme="minorHAnsi"/>
          <w:szCs w:val="24"/>
        </w:rPr>
        <w:t xml:space="preserve">Maintaining </w:t>
      </w:r>
      <w:proofErr w:type="gramStart"/>
      <w:r w:rsidRPr="00E72935">
        <w:rPr>
          <w:rFonts w:cstheme="minorHAnsi"/>
          <w:szCs w:val="24"/>
        </w:rPr>
        <w:t>sufficient</w:t>
      </w:r>
      <w:proofErr w:type="gramEnd"/>
      <w:r w:rsidRPr="00E72935">
        <w:rPr>
          <w:rFonts w:cstheme="minorHAnsi"/>
          <w:szCs w:val="24"/>
        </w:rPr>
        <w:t xml:space="preserve"> cash reserves to allow the routine assessment of potential current and future financial impacts related to the services </w:t>
      </w:r>
      <w:r w:rsidR="004D6A68" w:rsidRPr="00E72935">
        <w:rPr>
          <w:rFonts w:cstheme="minorHAnsi"/>
          <w:szCs w:val="24"/>
        </w:rPr>
        <w:t>KYMEA</w:t>
      </w:r>
      <w:r w:rsidRPr="00E72935">
        <w:rPr>
          <w:rFonts w:cstheme="minorHAnsi"/>
          <w:szCs w:val="24"/>
        </w:rPr>
        <w:t xml:space="preserve"> provides to its Members and make necessary adjustments to avoid adverse financial consequences</w:t>
      </w:r>
    </w:p>
    <w:p w14:paraId="1E9D4BA8" w14:textId="49CF8A58" w:rsidR="00841E87" w:rsidRPr="00E72935" w:rsidRDefault="00841E87" w:rsidP="007C17D3">
      <w:pPr>
        <w:pStyle w:val="ListParagraph"/>
        <w:widowControl w:val="0"/>
        <w:numPr>
          <w:ilvl w:val="1"/>
          <w:numId w:val="18"/>
        </w:numPr>
        <w:autoSpaceDE w:val="0"/>
        <w:autoSpaceDN w:val="0"/>
        <w:spacing w:after="0" w:line="240" w:lineRule="auto"/>
        <w:ind w:left="1080"/>
        <w:contextualSpacing w:val="0"/>
        <w:jc w:val="both"/>
        <w:rPr>
          <w:rFonts w:cstheme="minorHAnsi"/>
          <w:szCs w:val="24"/>
        </w:rPr>
      </w:pPr>
      <w:r w:rsidRPr="00E72935">
        <w:rPr>
          <w:rFonts w:cstheme="minorHAnsi"/>
          <w:szCs w:val="24"/>
        </w:rPr>
        <w:t xml:space="preserve">Managing its finances consistent with prudent utility practice and GAAP </w:t>
      </w:r>
    </w:p>
    <w:p w14:paraId="05DA0E4F" w14:textId="368C56CA" w:rsidR="00841E87" w:rsidRPr="00E72935" w:rsidRDefault="00841E87" w:rsidP="007C17D3">
      <w:pPr>
        <w:pStyle w:val="ListParagraph"/>
        <w:widowControl w:val="0"/>
        <w:numPr>
          <w:ilvl w:val="1"/>
          <w:numId w:val="18"/>
        </w:numPr>
        <w:autoSpaceDE w:val="0"/>
        <w:autoSpaceDN w:val="0"/>
        <w:spacing w:after="0" w:line="240" w:lineRule="auto"/>
        <w:ind w:left="1080"/>
        <w:contextualSpacing w:val="0"/>
        <w:jc w:val="both"/>
        <w:rPr>
          <w:rFonts w:cstheme="minorHAnsi"/>
          <w:szCs w:val="24"/>
        </w:rPr>
      </w:pPr>
      <w:r w:rsidRPr="00E72935">
        <w:rPr>
          <w:rFonts w:cstheme="minorHAnsi"/>
          <w:szCs w:val="24"/>
        </w:rPr>
        <w:t>Maintaining an excellent credit rating as determined by one or more credit rating agencies to assure Members that KYMEA is operated in a sound and prudent fiscal manner.</w:t>
      </w:r>
    </w:p>
    <w:p w14:paraId="1EC5475B" w14:textId="77777777" w:rsidR="00841E87" w:rsidRPr="00E72935" w:rsidRDefault="00841E87" w:rsidP="007C17D3">
      <w:pPr>
        <w:pStyle w:val="ListParagraph"/>
        <w:widowControl w:val="0"/>
        <w:numPr>
          <w:ilvl w:val="0"/>
          <w:numId w:val="18"/>
        </w:numPr>
        <w:autoSpaceDE w:val="0"/>
        <w:autoSpaceDN w:val="0"/>
        <w:spacing w:after="0" w:line="240" w:lineRule="auto"/>
        <w:ind w:left="360" w:hanging="270"/>
        <w:contextualSpacing w:val="0"/>
        <w:jc w:val="both"/>
        <w:rPr>
          <w:rFonts w:cstheme="minorHAnsi"/>
          <w:szCs w:val="24"/>
        </w:rPr>
      </w:pPr>
      <w:r w:rsidRPr="00E72935">
        <w:rPr>
          <w:rFonts w:cstheme="minorHAnsi"/>
          <w:szCs w:val="24"/>
        </w:rPr>
        <w:t>The Financial Risk Management Policy will govern the management of Financial Risks identified above under Definitions of Risk using procedures included in the Financial Risk Management Procedures to address the risks stated below.</w:t>
      </w:r>
    </w:p>
    <w:p w14:paraId="28528211" w14:textId="5615D98F" w:rsidR="00841E87" w:rsidRPr="00E72935" w:rsidRDefault="00841E87" w:rsidP="007C17D3">
      <w:pPr>
        <w:pStyle w:val="ListParagraph"/>
        <w:widowControl w:val="0"/>
        <w:numPr>
          <w:ilvl w:val="1"/>
          <w:numId w:val="18"/>
        </w:numPr>
        <w:autoSpaceDE w:val="0"/>
        <w:autoSpaceDN w:val="0"/>
        <w:spacing w:after="0" w:line="240" w:lineRule="auto"/>
        <w:ind w:left="1080" w:hanging="270"/>
        <w:contextualSpacing w:val="0"/>
        <w:jc w:val="both"/>
        <w:rPr>
          <w:rFonts w:cstheme="minorHAnsi"/>
          <w:szCs w:val="24"/>
        </w:rPr>
      </w:pPr>
      <w:r w:rsidRPr="00E72935">
        <w:rPr>
          <w:rFonts w:cstheme="minorHAnsi"/>
          <w:b/>
          <w:bCs/>
          <w:szCs w:val="24"/>
        </w:rPr>
        <w:t xml:space="preserve">Financial risk </w:t>
      </w:r>
      <w:r w:rsidRPr="00E72935">
        <w:rPr>
          <w:rFonts w:cstheme="minorHAnsi"/>
          <w:szCs w:val="24"/>
        </w:rPr>
        <w:t xml:space="preserve">is the risk that </w:t>
      </w:r>
      <w:r w:rsidR="00B107E0" w:rsidRPr="00E72935">
        <w:rPr>
          <w:rFonts w:cstheme="minorHAnsi"/>
          <w:szCs w:val="24"/>
        </w:rPr>
        <w:t>KYMEA’s</w:t>
      </w:r>
      <w:r w:rsidRPr="00E72935">
        <w:rPr>
          <w:rFonts w:cstheme="minorHAnsi"/>
          <w:szCs w:val="24"/>
        </w:rPr>
        <w:t xml:space="preserve"> scarce resources are not </w:t>
      </w:r>
      <w:r w:rsidR="00283C1F" w:rsidRPr="00E72935">
        <w:rPr>
          <w:rFonts w:cstheme="minorHAnsi"/>
          <w:szCs w:val="24"/>
        </w:rPr>
        <w:t xml:space="preserve">optimally </w:t>
      </w:r>
      <w:r w:rsidRPr="00E72935">
        <w:rPr>
          <w:rFonts w:cstheme="minorHAnsi"/>
          <w:szCs w:val="24"/>
        </w:rPr>
        <w:t>employed, resulting in adverse financial consequences.  Quantification of risks in terms of their impact on financial measures will be considered in risk analysis and mitigation.  Risk quantification and mitigation pursuant to appropriate risk tolerance shall have significant focus.</w:t>
      </w:r>
    </w:p>
    <w:p w14:paraId="4691CD65" w14:textId="0BD5073D" w:rsidR="00841E87" w:rsidRPr="00E72935" w:rsidRDefault="00841E87" w:rsidP="007C17D3">
      <w:pPr>
        <w:pStyle w:val="ListParagraph"/>
        <w:numPr>
          <w:ilvl w:val="2"/>
          <w:numId w:val="18"/>
        </w:numPr>
        <w:spacing w:after="160" w:line="240" w:lineRule="auto"/>
        <w:ind w:left="1800" w:hanging="270"/>
        <w:contextualSpacing w:val="0"/>
        <w:jc w:val="both"/>
        <w:rPr>
          <w:rFonts w:cstheme="minorHAnsi"/>
          <w:szCs w:val="24"/>
        </w:rPr>
      </w:pPr>
      <w:r w:rsidRPr="00E72935">
        <w:rPr>
          <w:rFonts w:cstheme="minorHAnsi"/>
          <w:szCs w:val="24"/>
        </w:rPr>
        <w:t>KYMEA will prepare and approve an annual budget prior to the start of each fiscal year.  The budget will include a projection of revenues and expenditures including operating expenditures and planned capital expenditures</w:t>
      </w:r>
      <w:r w:rsidR="00412C46" w:rsidRPr="00E72935">
        <w:rPr>
          <w:rFonts w:cstheme="minorHAnsi"/>
          <w:szCs w:val="24"/>
        </w:rPr>
        <w:t>.</w:t>
      </w:r>
    </w:p>
    <w:p w14:paraId="628186FD" w14:textId="355723ED" w:rsidR="00841E87" w:rsidRPr="00E72935" w:rsidRDefault="00841E87" w:rsidP="007C17D3">
      <w:pPr>
        <w:pStyle w:val="ListParagraph"/>
        <w:numPr>
          <w:ilvl w:val="2"/>
          <w:numId w:val="18"/>
        </w:numPr>
        <w:spacing w:after="160" w:line="240" w:lineRule="auto"/>
        <w:ind w:left="1800" w:hanging="270"/>
        <w:contextualSpacing w:val="0"/>
        <w:jc w:val="both"/>
        <w:rPr>
          <w:rFonts w:cstheme="minorHAnsi"/>
          <w:szCs w:val="24"/>
        </w:rPr>
      </w:pPr>
      <w:r w:rsidRPr="00E72935">
        <w:rPr>
          <w:rFonts w:cstheme="minorHAnsi"/>
          <w:szCs w:val="24"/>
        </w:rPr>
        <w:t xml:space="preserve">KYMEA will establish and maintain rate schedules that provide revenues </w:t>
      </w:r>
      <w:proofErr w:type="gramStart"/>
      <w:r w:rsidRPr="00E72935">
        <w:rPr>
          <w:rFonts w:cstheme="minorHAnsi"/>
          <w:szCs w:val="24"/>
        </w:rPr>
        <w:t>sufficient</w:t>
      </w:r>
      <w:proofErr w:type="gramEnd"/>
      <w:r w:rsidRPr="00E72935">
        <w:rPr>
          <w:rFonts w:cstheme="minorHAnsi"/>
          <w:szCs w:val="24"/>
        </w:rPr>
        <w:t xml:space="preserve"> to meet all expected costs including operations, administrative and general, debt service, reserve funds, and margins needed for creditworthiness requirements. </w:t>
      </w:r>
    </w:p>
    <w:p w14:paraId="1E248455" w14:textId="06836D34" w:rsidR="00841E87" w:rsidRPr="00E72935" w:rsidRDefault="00841E87" w:rsidP="007C17D3">
      <w:pPr>
        <w:pStyle w:val="ListParagraph"/>
        <w:numPr>
          <w:ilvl w:val="2"/>
          <w:numId w:val="18"/>
        </w:numPr>
        <w:spacing w:after="160" w:line="240" w:lineRule="auto"/>
        <w:ind w:left="1800" w:hanging="270"/>
        <w:contextualSpacing w:val="0"/>
        <w:jc w:val="both"/>
        <w:rPr>
          <w:rFonts w:cstheme="minorHAnsi"/>
          <w:szCs w:val="24"/>
        </w:rPr>
      </w:pPr>
      <w:r w:rsidRPr="00E72935">
        <w:rPr>
          <w:rFonts w:cstheme="minorHAnsi"/>
          <w:szCs w:val="24"/>
        </w:rPr>
        <w:t>KYMEA will maintain expenditure categories consistent with applicable statutes and, where appropriate, will be consistent with accepted standards such as the Uniform System of Accounts</w:t>
      </w:r>
      <w:r w:rsidR="00412C46" w:rsidRPr="00E72935">
        <w:rPr>
          <w:rFonts w:cstheme="minorHAnsi"/>
          <w:szCs w:val="24"/>
        </w:rPr>
        <w:t>.</w:t>
      </w:r>
    </w:p>
    <w:p w14:paraId="79F58459" w14:textId="7B0126A6" w:rsidR="00841E87" w:rsidRPr="00E72935" w:rsidRDefault="00841E87" w:rsidP="007C17D3">
      <w:pPr>
        <w:pStyle w:val="ListParagraph"/>
        <w:numPr>
          <w:ilvl w:val="2"/>
          <w:numId w:val="18"/>
        </w:numPr>
        <w:spacing w:after="160" w:line="240" w:lineRule="auto"/>
        <w:ind w:left="1890" w:hanging="360"/>
        <w:contextualSpacing w:val="0"/>
        <w:jc w:val="both"/>
        <w:rPr>
          <w:rFonts w:cstheme="minorHAnsi"/>
          <w:szCs w:val="24"/>
        </w:rPr>
      </w:pPr>
      <w:r w:rsidRPr="00E72935">
        <w:rPr>
          <w:rFonts w:cstheme="minorHAnsi"/>
          <w:szCs w:val="24"/>
        </w:rPr>
        <w:t>KYMEA will prepare, on a monthly basis for Board of Directors review, a statement of the financial condition of KYMEA including a report of financial transactions.  Monthly financial statements will include year-to-date revenue and expenditures as well as explanations for major variances to budget</w:t>
      </w:r>
      <w:r w:rsidR="00412C46" w:rsidRPr="00E72935">
        <w:rPr>
          <w:rFonts w:cstheme="minorHAnsi"/>
          <w:szCs w:val="24"/>
        </w:rPr>
        <w:t>.</w:t>
      </w:r>
    </w:p>
    <w:p w14:paraId="5AE33182" w14:textId="77777777" w:rsidR="00841E87" w:rsidRPr="00E72935" w:rsidRDefault="00841E87" w:rsidP="007C17D3">
      <w:pPr>
        <w:pStyle w:val="ListParagraph"/>
        <w:numPr>
          <w:ilvl w:val="2"/>
          <w:numId w:val="18"/>
        </w:numPr>
        <w:tabs>
          <w:tab w:val="left" w:pos="1890"/>
        </w:tabs>
        <w:spacing w:after="160" w:line="240" w:lineRule="auto"/>
        <w:ind w:left="1890" w:hanging="360"/>
        <w:contextualSpacing w:val="0"/>
        <w:jc w:val="both"/>
        <w:rPr>
          <w:rFonts w:cstheme="minorHAnsi"/>
          <w:szCs w:val="24"/>
        </w:rPr>
      </w:pPr>
      <w:r w:rsidRPr="00E72935">
        <w:rPr>
          <w:rFonts w:cstheme="minorHAnsi"/>
          <w:szCs w:val="24"/>
        </w:rPr>
        <w:t>Operations expenditures and capital expenditures will meet the requirements of generally accepted accounting principles (GAAP).</w:t>
      </w:r>
    </w:p>
    <w:p w14:paraId="58EF26B6" w14:textId="7634A86F" w:rsidR="00841E87" w:rsidRPr="00E72935" w:rsidRDefault="00841E87" w:rsidP="007C17D3">
      <w:pPr>
        <w:pStyle w:val="ListParagraph"/>
        <w:numPr>
          <w:ilvl w:val="2"/>
          <w:numId w:val="18"/>
        </w:numPr>
        <w:spacing w:after="160" w:line="240" w:lineRule="auto"/>
        <w:ind w:left="1890" w:hanging="360"/>
        <w:contextualSpacing w:val="0"/>
        <w:jc w:val="both"/>
        <w:rPr>
          <w:rFonts w:cstheme="minorHAnsi"/>
          <w:szCs w:val="24"/>
        </w:rPr>
      </w:pPr>
      <w:r w:rsidRPr="00E72935">
        <w:rPr>
          <w:rFonts w:cstheme="minorHAnsi"/>
          <w:szCs w:val="24"/>
        </w:rPr>
        <w:lastRenderedPageBreak/>
        <w:t>KYMEA will review, on an annual basis, any ongoing transaction obligations related to market risks, credit risks, and liquidity risks.  Note, as of the date of this policy, KYMEA does not have any trading-related risks</w:t>
      </w:r>
      <w:r w:rsidR="00412C46" w:rsidRPr="00E72935">
        <w:rPr>
          <w:rFonts w:cstheme="minorHAnsi"/>
          <w:szCs w:val="24"/>
        </w:rPr>
        <w:t>.</w:t>
      </w:r>
    </w:p>
    <w:p w14:paraId="072D66B0" w14:textId="6674669D" w:rsidR="00CB64DA" w:rsidRPr="00E72935" w:rsidRDefault="00841E87" w:rsidP="007C17D3">
      <w:pPr>
        <w:pStyle w:val="ListParagraph"/>
        <w:numPr>
          <w:ilvl w:val="2"/>
          <w:numId w:val="18"/>
        </w:numPr>
        <w:spacing w:after="0" w:line="240" w:lineRule="auto"/>
        <w:ind w:left="1890" w:hanging="360"/>
        <w:contextualSpacing w:val="0"/>
        <w:jc w:val="both"/>
        <w:rPr>
          <w:rFonts w:cstheme="minorHAnsi"/>
          <w:szCs w:val="24"/>
        </w:rPr>
      </w:pPr>
      <w:r w:rsidRPr="00E72935">
        <w:rPr>
          <w:rFonts w:cstheme="minorHAnsi"/>
          <w:szCs w:val="24"/>
        </w:rPr>
        <w:t>Annual Audit – KYMEA will engage an independent auditor to review its financial books and accounts annually.  The audit is to be performed by an independent, certified public accountant. Additional financial risks and liquidity measures will be managed according to the Financial Risk Management Procedures and supporting internal control procedures</w:t>
      </w:r>
      <w:r w:rsidR="00412C46" w:rsidRPr="00E72935">
        <w:rPr>
          <w:rFonts w:cstheme="minorHAnsi"/>
          <w:szCs w:val="24"/>
        </w:rPr>
        <w:t>.</w:t>
      </w:r>
    </w:p>
    <w:p w14:paraId="502C52C5" w14:textId="6769A998" w:rsidR="00075668" w:rsidRPr="00E72935" w:rsidRDefault="00841E87" w:rsidP="007C17D3">
      <w:pPr>
        <w:pStyle w:val="ListParagraph"/>
        <w:widowControl w:val="0"/>
        <w:numPr>
          <w:ilvl w:val="1"/>
          <w:numId w:val="18"/>
        </w:numPr>
        <w:autoSpaceDE w:val="0"/>
        <w:autoSpaceDN w:val="0"/>
        <w:spacing w:after="0" w:line="240" w:lineRule="auto"/>
        <w:ind w:left="990"/>
        <w:contextualSpacing w:val="0"/>
        <w:jc w:val="both"/>
        <w:rPr>
          <w:rFonts w:cstheme="minorHAnsi"/>
          <w:szCs w:val="24"/>
        </w:rPr>
      </w:pPr>
      <w:r w:rsidRPr="00E72935">
        <w:rPr>
          <w:rFonts w:cstheme="minorHAnsi"/>
          <w:b/>
          <w:bCs/>
          <w:szCs w:val="24"/>
        </w:rPr>
        <w:t>Cash margin risk</w:t>
      </w:r>
      <w:r w:rsidRPr="00E72935">
        <w:rPr>
          <w:rFonts w:cstheme="minorHAnsi"/>
          <w:szCs w:val="24"/>
        </w:rPr>
        <w:t xml:space="preserve"> is the risk associated with inadequate cash flow resulting from margin requirements of a contractual agreement.  Credit exposures include replacement cost exposure on a mark-to-market basis when a counterparty’s position is out-of-the</w:t>
      </w:r>
      <w:r w:rsidR="00412C46" w:rsidRPr="00E72935">
        <w:rPr>
          <w:rFonts w:cstheme="minorHAnsi"/>
          <w:szCs w:val="24"/>
        </w:rPr>
        <w:t>-</w:t>
      </w:r>
      <w:r w:rsidRPr="00E72935">
        <w:rPr>
          <w:rFonts w:cstheme="minorHAnsi"/>
          <w:szCs w:val="24"/>
        </w:rPr>
        <w:t>money.</w:t>
      </w:r>
    </w:p>
    <w:p w14:paraId="605D1908" w14:textId="69060DC3" w:rsidR="00841E87" w:rsidRPr="00E72935" w:rsidRDefault="00841E87" w:rsidP="007C17D3">
      <w:pPr>
        <w:pStyle w:val="ListParagraph"/>
        <w:widowControl w:val="0"/>
        <w:numPr>
          <w:ilvl w:val="2"/>
          <w:numId w:val="18"/>
        </w:numPr>
        <w:autoSpaceDE w:val="0"/>
        <w:autoSpaceDN w:val="0"/>
        <w:spacing w:after="0" w:line="240" w:lineRule="auto"/>
        <w:ind w:left="1980" w:hanging="630"/>
        <w:contextualSpacing w:val="0"/>
        <w:jc w:val="both"/>
        <w:rPr>
          <w:rFonts w:cstheme="minorHAnsi"/>
          <w:szCs w:val="24"/>
        </w:rPr>
      </w:pPr>
      <w:r w:rsidRPr="00E72935">
        <w:rPr>
          <w:rFonts w:cstheme="minorHAnsi"/>
          <w:szCs w:val="24"/>
        </w:rPr>
        <w:t>Cash margin risk will be managed consistent with the Financial Risk and Energy Risk Management Procedures</w:t>
      </w:r>
      <w:r w:rsidR="00412C46" w:rsidRPr="00E72935">
        <w:rPr>
          <w:rFonts w:cstheme="minorHAnsi"/>
          <w:szCs w:val="24"/>
        </w:rPr>
        <w:t>.</w:t>
      </w:r>
    </w:p>
    <w:p w14:paraId="72FAC938" w14:textId="36098A65" w:rsidR="00075668" w:rsidRPr="00E72935" w:rsidRDefault="00841E87" w:rsidP="007C17D3">
      <w:pPr>
        <w:pStyle w:val="ListParagraph"/>
        <w:widowControl w:val="0"/>
        <w:numPr>
          <w:ilvl w:val="1"/>
          <w:numId w:val="18"/>
        </w:numPr>
        <w:autoSpaceDE w:val="0"/>
        <w:autoSpaceDN w:val="0"/>
        <w:spacing w:after="0" w:line="240" w:lineRule="auto"/>
        <w:ind w:left="990"/>
        <w:contextualSpacing w:val="0"/>
        <w:jc w:val="both"/>
        <w:rPr>
          <w:rFonts w:cstheme="minorHAnsi"/>
          <w:szCs w:val="24"/>
        </w:rPr>
      </w:pPr>
      <w:r w:rsidRPr="00E72935">
        <w:rPr>
          <w:rFonts w:cstheme="minorHAnsi"/>
          <w:b/>
          <w:bCs/>
          <w:szCs w:val="24"/>
        </w:rPr>
        <w:t>Credit risk</w:t>
      </w:r>
      <w:r w:rsidRPr="00E72935">
        <w:rPr>
          <w:rFonts w:cstheme="minorHAnsi"/>
          <w:szCs w:val="24"/>
        </w:rPr>
        <w:t xml:space="preserve"> is the risk of a counterparty’s </w:t>
      </w:r>
      <w:r w:rsidR="00712AE7" w:rsidRPr="00E72935">
        <w:rPr>
          <w:rFonts w:cstheme="minorHAnsi"/>
          <w:szCs w:val="24"/>
        </w:rPr>
        <w:t>in</w:t>
      </w:r>
      <w:r w:rsidRPr="00E72935">
        <w:rPr>
          <w:rFonts w:cstheme="minorHAnsi"/>
          <w:szCs w:val="24"/>
        </w:rPr>
        <w:t xml:space="preserve">ability to pay its obligations (debts) to KYMEA or </w:t>
      </w:r>
      <w:r w:rsidR="00577A9A" w:rsidRPr="00E72935">
        <w:rPr>
          <w:rFonts w:cstheme="minorHAnsi"/>
          <w:szCs w:val="24"/>
        </w:rPr>
        <w:t xml:space="preserve">of </w:t>
      </w:r>
      <w:r w:rsidRPr="00E72935">
        <w:rPr>
          <w:rFonts w:cstheme="minorHAnsi"/>
          <w:szCs w:val="24"/>
        </w:rPr>
        <w:t>a supplier</w:t>
      </w:r>
      <w:r w:rsidR="00577A9A" w:rsidRPr="00E72935">
        <w:rPr>
          <w:rFonts w:cstheme="minorHAnsi"/>
          <w:szCs w:val="24"/>
        </w:rPr>
        <w:t xml:space="preserve"> that</w:t>
      </w:r>
      <w:r w:rsidRPr="00E72935">
        <w:rPr>
          <w:rFonts w:cstheme="minorHAnsi"/>
          <w:szCs w:val="24"/>
        </w:rPr>
        <w:t xml:space="preserve"> declares bankruptcy and abrogates a supply contract that must be replaced during a time of higher commodity market prices.</w:t>
      </w:r>
    </w:p>
    <w:p w14:paraId="42E612B2" w14:textId="66533544" w:rsidR="00800200" w:rsidRPr="00E72935" w:rsidRDefault="00800200" w:rsidP="007C17D3">
      <w:pPr>
        <w:pStyle w:val="ListParagraph"/>
        <w:widowControl w:val="0"/>
        <w:numPr>
          <w:ilvl w:val="0"/>
          <w:numId w:val="26"/>
        </w:numPr>
        <w:autoSpaceDE w:val="0"/>
        <w:autoSpaceDN w:val="0"/>
        <w:spacing w:after="0" w:line="240" w:lineRule="auto"/>
        <w:ind w:hanging="630"/>
        <w:contextualSpacing w:val="0"/>
        <w:jc w:val="both"/>
        <w:rPr>
          <w:rFonts w:cstheme="minorHAnsi"/>
          <w:szCs w:val="24"/>
        </w:rPr>
      </w:pPr>
      <w:r w:rsidRPr="00E72935">
        <w:rPr>
          <w:rFonts w:cstheme="minorHAnsi"/>
          <w:szCs w:val="24"/>
        </w:rPr>
        <w:t xml:space="preserve">Credit risk and counterparty performance risk will be managed according to the credit controls as specified in the </w:t>
      </w:r>
      <w:r w:rsidR="00DD0FC0" w:rsidRPr="00E72935">
        <w:rPr>
          <w:rFonts w:cstheme="minorHAnsi"/>
          <w:szCs w:val="24"/>
        </w:rPr>
        <w:t>Credit Risk Policy.</w:t>
      </w:r>
    </w:p>
    <w:p w14:paraId="24FAC1B5" w14:textId="77777777" w:rsidR="00800200" w:rsidRPr="00E72935" w:rsidRDefault="00800200" w:rsidP="00551B7A">
      <w:pPr>
        <w:pStyle w:val="ListParagraph"/>
        <w:widowControl w:val="0"/>
        <w:autoSpaceDE w:val="0"/>
        <w:autoSpaceDN w:val="0"/>
        <w:spacing w:after="0" w:line="240" w:lineRule="auto"/>
        <w:ind w:left="1440"/>
        <w:contextualSpacing w:val="0"/>
        <w:jc w:val="both"/>
        <w:rPr>
          <w:rFonts w:cstheme="minorHAnsi"/>
          <w:szCs w:val="24"/>
        </w:rPr>
      </w:pPr>
    </w:p>
    <w:p w14:paraId="1AEC247B" w14:textId="77777777" w:rsidR="00841E87" w:rsidRPr="00B51D2F" w:rsidRDefault="00841E87" w:rsidP="00551B7A">
      <w:pPr>
        <w:spacing w:after="120" w:line="240" w:lineRule="auto"/>
        <w:ind w:hanging="630"/>
        <w:jc w:val="both"/>
        <w:rPr>
          <w:rFonts w:cstheme="minorHAnsi"/>
        </w:rPr>
      </w:pPr>
    </w:p>
    <w:p w14:paraId="704047B1" w14:textId="77777777" w:rsidR="00841E87" w:rsidRPr="00B51D2F" w:rsidRDefault="00841E87" w:rsidP="003B1D34">
      <w:pPr>
        <w:spacing w:before="120" w:after="120" w:line="240" w:lineRule="auto"/>
        <w:ind w:hanging="630"/>
        <w:jc w:val="both"/>
        <w:rPr>
          <w:rFonts w:cstheme="minorHAnsi"/>
        </w:rPr>
      </w:pPr>
    </w:p>
    <w:p w14:paraId="6D0B364D" w14:textId="77777777" w:rsidR="00841E87" w:rsidRPr="00B51D2F" w:rsidRDefault="00841E87" w:rsidP="003B1D34">
      <w:pPr>
        <w:spacing w:before="120" w:after="120" w:line="240" w:lineRule="auto"/>
        <w:ind w:hanging="630"/>
        <w:jc w:val="both"/>
        <w:rPr>
          <w:rFonts w:cstheme="minorHAnsi"/>
        </w:rPr>
      </w:pPr>
    </w:p>
    <w:p w14:paraId="622F227B" w14:textId="77777777" w:rsidR="00841E87" w:rsidRDefault="00841E87" w:rsidP="003B1D34">
      <w:pPr>
        <w:spacing w:before="120" w:after="120" w:line="240" w:lineRule="auto"/>
        <w:ind w:hanging="630"/>
        <w:jc w:val="both"/>
        <w:rPr>
          <w:rFonts w:cstheme="minorHAnsi"/>
        </w:rPr>
      </w:pPr>
    </w:p>
    <w:p w14:paraId="454AA1EC" w14:textId="270F0A14" w:rsidR="00841E87" w:rsidRDefault="00841E87" w:rsidP="003B1D34">
      <w:pPr>
        <w:spacing w:before="120" w:after="120" w:line="240" w:lineRule="auto"/>
        <w:ind w:hanging="630"/>
        <w:jc w:val="both"/>
        <w:rPr>
          <w:rFonts w:cstheme="minorHAnsi"/>
        </w:rPr>
      </w:pPr>
    </w:p>
    <w:p w14:paraId="07025C63" w14:textId="009F0182" w:rsidR="0005674A" w:rsidRDefault="0005674A" w:rsidP="003B1D34">
      <w:pPr>
        <w:spacing w:before="120" w:after="120" w:line="240" w:lineRule="auto"/>
        <w:ind w:hanging="630"/>
        <w:jc w:val="both"/>
        <w:rPr>
          <w:rFonts w:cstheme="minorHAnsi"/>
        </w:rPr>
      </w:pPr>
    </w:p>
    <w:p w14:paraId="6F098CE6" w14:textId="5C6F47FE" w:rsidR="0005674A" w:rsidRDefault="0005674A" w:rsidP="003B1D34">
      <w:pPr>
        <w:spacing w:before="120" w:after="120" w:line="240" w:lineRule="auto"/>
        <w:ind w:hanging="630"/>
        <w:jc w:val="both"/>
        <w:rPr>
          <w:rFonts w:cstheme="minorHAnsi"/>
        </w:rPr>
      </w:pPr>
    </w:p>
    <w:p w14:paraId="3429CAFE" w14:textId="77777777" w:rsidR="0005674A" w:rsidRDefault="0005674A" w:rsidP="003B1D34">
      <w:pPr>
        <w:spacing w:before="120" w:after="120" w:line="240" w:lineRule="auto"/>
        <w:ind w:hanging="630"/>
        <w:jc w:val="both"/>
        <w:rPr>
          <w:rFonts w:cstheme="minorHAnsi"/>
        </w:rPr>
      </w:pPr>
    </w:p>
    <w:p w14:paraId="2EED7F9C" w14:textId="77777777" w:rsidR="00DD0FC0" w:rsidRDefault="00DD0FC0" w:rsidP="003B1D34">
      <w:pPr>
        <w:spacing w:before="120" w:after="120" w:line="240" w:lineRule="auto"/>
        <w:ind w:hanging="630"/>
        <w:jc w:val="both"/>
        <w:rPr>
          <w:rFonts w:cstheme="minorHAnsi"/>
        </w:rPr>
      </w:pPr>
    </w:p>
    <w:p w14:paraId="5B32C163" w14:textId="77777777" w:rsidR="00841E87" w:rsidRDefault="00841E87" w:rsidP="003B1D34">
      <w:pPr>
        <w:spacing w:before="120" w:after="120"/>
        <w:jc w:val="both"/>
        <w:rPr>
          <w:rFonts w:cstheme="minorHAnsi"/>
        </w:rPr>
      </w:pPr>
    </w:p>
    <w:p w14:paraId="4531C6F6" w14:textId="09F7E3DD" w:rsidR="00841E87" w:rsidRDefault="00841E87" w:rsidP="003B1D34">
      <w:pPr>
        <w:spacing w:before="120" w:after="120"/>
        <w:jc w:val="both"/>
        <w:rPr>
          <w:rFonts w:cstheme="minorHAnsi"/>
        </w:rPr>
      </w:pPr>
    </w:p>
    <w:p w14:paraId="05ED580D" w14:textId="7D579820" w:rsidR="00177A42" w:rsidRDefault="00177A42" w:rsidP="003B1D34">
      <w:pPr>
        <w:spacing w:before="120" w:after="120"/>
        <w:jc w:val="both"/>
        <w:rPr>
          <w:rFonts w:cstheme="minorHAnsi"/>
        </w:rPr>
      </w:pPr>
    </w:p>
    <w:p w14:paraId="247406AD" w14:textId="77777777" w:rsidR="00177A42" w:rsidRDefault="00177A42" w:rsidP="003B1D34">
      <w:pPr>
        <w:spacing w:before="120" w:after="120"/>
        <w:jc w:val="both"/>
        <w:rPr>
          <w:rFonts w:cstheme="minorHAnsi"/>
        </w:rPr>
      </w:pPr>
    </w:p>
    <w:p w14:paraId="21AA9699" w14:textId="77777777" w:rsidR="00841E87" w:rsidRDefault="00841E87" w:rsidP="003B1D34">
      <w:pPr>
        <w:spacing w:before="120" w:after="120"/>
        <w:jc w:val="both"/>
        <w:rPr>
          <w:rFonts w:cstheme="minorHAnsi"/>
        </w:rPr>
      </w:pPr>
    </w:p>
    <w:p w14:paraId="43B911B3" w14:textId="3970B59D" w:rsidR="001E7866" w:rsidRDefault="001E7866" w:rsidP="003B1D34">
      <w:pPr>
        <w:pStyle w:val="Heading1"/>
        <w:jc w:val="both"/>
      </w:pPr>
      <w:bookmarkStart w:id="17" w:name="_Toc8811586"/>
      <w:r>
        <w:lastRenderedPageBreak/>
        <w:t>SECTION 1.</w:t>
      </w:r>
      <w:r w:rsidR="00A953ED">
        <w:t>9</w:t>
      </w:r>
      <w:bookmarkEnd w:id="17"/>
    </w:p>
    <w:p w14:paraId="0281AC3B" w14:textId="0F9C7DC1" w:rsidR="001E7866" w:rsidRDefault="001E7866" w:rsidP="003B1D34">
      <w:pPr>
        <w:pStyle w:val="Heading3"/>
        <w:jc w:val="both"/>
      </w:pPr>
      <w:bookmarkStart w:id="18" w:name="_Toc8811587"/>
      <w:r>
        <w:t>Reference documents</w:t>
      </w:r>
      <w:bookmarkEnd w:id="18"/>
    </w:p>
    <w:p w14:paraId="4FB4A204" w14:textId="77777777" w:rsidR="00841E87" w:rsidRPr="00B51D2F" w:rsidRDefault="00841E87" w:rsidP="007C17D3">
      <w:pPr>
        <w:pStyle w:val="ListParagraph"/>
        <w:numPr>
          <w:ilvl w:val="0"/>
          <w:numId w:val="17"/>
        </w:numPr>
        <w:spacing w:before="0" w:after="120" w:line="259" w:lineRule="auto"/>
        <w:contextualSpacing w:val="0"/>
        <w:jc w:val="both"/>
      </w:pPr>
      <w:r w:rsidRPr="00B51D2F">
        <w:t>Interlocal Cooperation Agreement Creating the Kentucky Municipal Energy Agency (Interlocal Agreement)</w:t>
      </w:r>
    </w:p>
    <w:p w14:paraId="5FB850D0" w14:textId="77777777" w:rsidR="00841E87" w:rsidRPr="00B51D2F" w:rsidRDefault="00841E87" w:rsidP="007C17D3">
      <w:pPr>
        <w:pStyle w:val="ListParagraph"/>
        <w:numPr>
          <w:ilvl w:val="0"/>
          <w:numId w:val="17"/>
        </w:numPr>
        <w:spacing w:before="0" w:after="120" w:line="259" w:lineRule="auto"/>
        <w:contextualSpacing w:val="0"/>
        <w:jc w:val="both"/>
      </w:pPr>
      <w:r w:rsidRPr="00B51D2F">
        <w:t>Bylaws of Kentucky Municipal Energy Agency (Bylaws)</w:t>
      </w:r>
    </w:p>
    <w:p w14:paraId="3D0121D7" w14:textId="77777777" w:rsidR="00841E87" w:rsidRPr="00B51D2F" w:rsidRDefault="00841E87" w:rsidP="007C17D3">
      <w:pPr>
        <w:pStyle w:val="ListParagraph"/>
        <w:numPr>
          <w:ilvl w:val="0"/>
          <w:numId w:val="17"/>
        </w:numPr>
        <w:spacing w:before="0" w:after="120" w:line="259" w:lineRule="auto"/>
        <w:contextualSpacing w:val="0"/>
        <w:jc w:val="both"/>
      </w:pPr>
      <w:r w:rsidRPr="00B51D2F">
        <w:t>Kentucky Municipal Energy Agency, All Requirements Power Sales Contract (AR Contract)</w:t>
      </w:r>
    </w:p>
    <w:p w14:paraId="6F7C0C9F" w14:textId="77777777" w:rsidR="00841E87" w:rsidRPr="00B51D2F" w:rsidRDefault="00841E87" w:rsidP="007C17D3">
      <w:pPr>
        <w:pStyle w:val="ListParagraph"/>
        <w:numPr>
          <w:ilvl w:val="0"/>
          <w:numId w:val="17"/>
        </w:numPr>
        <w:spacing w:before="0" w:after="120" w:line="259" w:lineRule="auto"/>
        <w:contextualSpacing w:val="0"/>
        <w:jc w:val="both"/>
      </w:pPr>
      <w:r w:rsidRPr="00B51D2F">
        <w:t>Agency Agreement for Procurement of Transmission Services (Transmission Services Agreement)</w:t>
      </w:r>
    </w:p>
    <w:p w14:paraId="04FD0F99" w14:textId="77777777" w:rsidR="00841E87" w:rsidRPr="00B51D2F" w:rsidRDefault="00841E87" w:rsidP="007C17D3">
      <w:pPr>
        <w:pStyle w:val="ListParagraph"/>
        <w:numPr>
          <w:ilvl w:val="0"/>
          <w:numId w:val="17"/>
        </w:numPr>
        <w:spacing w:before="0" w:after="120" w:line="259" w:lineRule="auto"/>
        <w:contextualSpacing w:val="0"/>
        <w:jc w:val="both"/>
      </w:pPr>
      <w:r w:rsidRPr="00B51D2F">
        <w:t>Resolution of the Kentucky Municipal Energy Agency Adopting provisions of the Kentucky Model Procurement Code (Resolution dated September 24, 2015)</w:t>
      </w:r>
    </w:p>
    <w:p w14:paraId="7B4C2058" w14:textId="77777777" w:rsidR="00841E87" w:rsidRPr="00B51D2F" w:rsidRDefault="00841E87" w:rsidP="007C17D3">
      <w:pPr>
        <w:pStyle w:val="ListParagraph"/>
        <w:numPr>
          <w:ilvl w:val="0"/>
          <w:numId w:val="17"/>
        </w:numPr>
        <w:spacing w:before="0" w:after="120" w:line="259" w:lineRule="auto"/>
        <w:contextualSpacing w:val="0"/>
        <w:jc w:val="both"/>
      </w:pPr>
      <w:r w:rsidRPr="00B51D2F">
        <w:t>Resolution of the Kentucky Municipal Energy Agency Designating Persons Authorized to Sign Checks (Resolution dated January 28, 2016)</w:t>
      </w:r>
    </w:p>
    <w:p w14:paraId="3281BFEA" w14:textId="77777777" w:rsidR="00841E87" w:rsidRPr="00B51D2F" w:rsidRDefault="00841E87" w:rsidP="003B1D34">
      <w:pPr>
        <w:spacing w:before="120" w:after="120"/>
        <w:jc w:val="both"/>
        <w:rPr>
          <w:rFonts w:cstheme="minorHAnsi"/>
        </w:rPr>
      </w:pPr>
    </w:p>
    <w:p w14:paraId="6EBBBF9D" w14:textId="6E69C5F3" w:rsidR="00BA31B3" w:rsidRDefault="00BA31B3" w:rsidP="003B1D34">
      <w:pPr>
        <w:jc w:val="both"/>
      </w:pPr>
    </w:p>
    <w:p w14:paraId="6ADBF662" w14:textId="1387F83A" w:rsidR="004B6ACC" w:rsidRDefault="004B6ACC" w:rsidP="003B1D34">
      <w:pPr>
        <w:jc w:val="both"/>
      </w:pPr>
    </w:p>
    <w:p w14:paraId="624A8ED4" w14:textId="77777777" w:rsidR="004B6ACC" w:rsidRDefault="004B6ACC" w:rsidP="003B1D34">
      <w:pPr>
        <w:jc w:val="both"/>
      </w:pPr>
    </w:p>
    <w:p w14:paraId="6F9D9141" w14:textId="0ADA4D13" w:rsidR="00BA31B3" w:rsidRDefault="00BA31B3" w:rsidP="00DA3097"/>
    <w:p w14:paraId="7E26C80B" w14:textId="00928E2E" w:rsidR="0023388C" w:rsidRDefault="0023388C" w:rsidP="0023388C">
      <w:pPr>
        <w:pStyle w:val="Title"/>
        <w:jc w:val="center"/>
      </w:pPr>
    </w:p>
    <w:p w14:paraId="116528CC" w14:textId="70DAC26B" w:rsidR="003A78EA" w:rsidRDefault="003A78EA" w:rsidP="003A78EA"/>
    <w:p w14:paraId="136183F0" w14:textId="1F0F5034" w:rsidR="003A78EA" w:rsidRDefault="003A78EA" w:rsidP="003A78EA"/>
    <w:p w14:paraId="29848F58" w14:textId="5D7BDC23" w:rsidR="003A78EA" w:rsidRDefault="003A78EA" w:rsidP="003A78EA"/>
    <w:p w14:paraId="73B91B41" w14:textId="1F578613" w:rsidR="003A78EA" w:rsidRDefault="003A78EA" w:rsidP="003A78EA"/>
    <w:p w14:paraId="7BBF4B4F" w14:textId="74B90FAE" w:rsidR="003A78EA" w:rsidRDefault="003A78EA" w:rsidP="003A78EA"/>
    <w:p w14:paraId="7A9B7B52" w14:textId="39D6F565" w:rsidR="003A78EA" w:rsidRDefault="003A78EA" w:rsidP="003A78EA"/>
    <w:p w14:paraId="0691003B" w14:textId="03C2976D" w:rsidR="003A78EA" w:rsidRDefault="003A78EA" w:rsidP="003A78EA"/>
    <w:p w14:paraId="5B37E8B8" w14:textId="0AE7B68F" w:rsidR="003A78EA" w:rsidRDefault="003A78EA" w:rsidP="003A78EA"/>
    <w:p w14:paraId="292E2BDA" w14:textId="7132CCC9" w:rsidR="004C6CB2" w:rsidRDefault="00956864" w:rsidP="004C6CB2">
      <w:pPr>
        <w:pStyle w:val="Heading1"/>
      </w:pPr>
      <w:bookmarkStart w:id="19" w:name="_Toc8811588"/>
      <w:r>
        <w:lastRenderedPageBreak/>
        <w:t>SECTION</w:t>
      </w:r>
      <w:r w:rsidR="00FD32B8">
        <w:t xml:space="preserve"> </w:t>
      </w:r>
      <w:r w:rsidR="00834345">
        <w:t>1.10</w:t>
      </w:r>
      <w:bookmarkEnd w:id="19"/>
    </w:p>
    <w:p w14:paraId="6B551A71" w14:textId="76C880C2" w:rsidR="004C6CB2" w:rsidRPr="00B33B88" w:rsidRDefault="00FD32B8" w:rsidP="004C6CB2">
      <w:pPr>
        <w:pStyle w:val="Heading3"/>
      </w:pPr>
      <w:bookmarkStart w:id="20" w:name="_Toc8811589"/>
      <w:r>
        <w:t>Credit Policy</w:t>
      </w:r>
      <w:bookmarkEnd w:id="20"/>
    </w:p>
    <w:p w14:paraId="3AE44F7F" w14:textId="77777777" w:rsidR="004C6CB2" w:rsidRPr="00D219CD" w:rsidRDefault="004C6CB2" w:rsidP="003B1D34">
      <w:pPr>
        <w:spacing w:before="120" w:after="120"/>
        <w:jc w:val="both"/>
        <w:rPr>
          <w:rFonts w:cstheme="minorHAnsi"/>
          <w:b/>
        </w:rPr>
      </w:pPr>
      <w:r w:rsidRPr="00D219CD">
        <w:rPr>
          <w:rFonts w:cstheme="minorHAnsi"/>
          <w:b/>
        </w:rPr>
        <w:t>Policy Purpose</w:t>
      </w:r>
    </w:p>
    <w:p w14:paraId="59D62BA3" w14:textId="652D9FEF" w:rsidR="00522F7F" w:rsidRPr="00E72935" w:rsidRDefault="00522F7F" w:rsidP="00C86780">
      <w:pPr>
        <w:spacing w:before="0" w:after="0"/>
        <w:jc w:val="both"/>
        <w:rPr>
          <w:rFonts w:cstheme="minorHAnsi"/>
          <w:b/>
          <w:bCs/>
          <w:color w:val="000000"/>
          <w:szCs w:val="24"/>
        </w:rPr>
      </w:pPr>
      <w:r w:rsidRPr="00E72935">
        <w:rPr>
          <w:rFonts w:cstheme="minorHAnsi"/>
          <w:b/>
          <w:bCs/>
          <w:color w:val="000000"/>
          <w:szCs w:val="24"/>
          <w:u w:val="single"/>
        </w:rPr>
        <w:t>Objective</w:t>
      </w:r>
    </w:p>
    <w:p w14:paraId="38725167" w14:textId="2432D7EA" w:rsidR="00D94A3A" w:rsidRPr="00E72935" w:rsidRDefault="00522F7F" w:rsidP="009B78FC">
      <w:pPr>
        <w:spacing w:before="0"/>
        <w:jc w:val="both"/>
        <w:rPr>
          <w:rFonts w:cstheme="minorHAnsi"/>
          <w:color w:val="000000"/>
          <w:szCs w:val="24"/>
        </w:rPr>
      </w:pPr>
      <w:r w:rsidRPr="00E72935">
        <w:rPr>
          <w:rFonts w:cstheme="minorHAnsi"/>
          <w:color w:val="000000"/>
          <w:szCs w:val="24"/>
        </w:rPr>
        <w:t>The Kentucky Municipal Energy Agency (KYMEA) Credit Policy outlines the credit policies and procedures in order to guide a disciplined and integrated set of protocols for monitoring, measuring and managing the organization’s counterparty credit risks within the policies and risk tolerance of the organization. These credit policies and procedures relate to KYMEA’s energy risk management policy.</w:t>
      </w:r>
    </w:p>
    <w:p w14:paraId="2BF85DC0" w14:textId="5F49753E" w:rsidR="00556F92" w:rsidRPr="00E72935" w:rsidRDefault="00522F7F" w:rsidP="009B78FC">
      <w:pPr>
        <w:pStyle w:val="BodyText"/>
        <w:spacing w:before="0" w:after="200"/>
        <w:jc w:val="both"/>
        <w:rPr>
          <w:rFonts w:cstheme="minorHAnsi"/>
          <w:szCs w:val="24"/>
        </w:rPr>
      </w:pPr>
      <w:r w:rsidRPr="00E72935">
        <w:rPr>
          <w:rFonts w:cstheme="minorHAnsi"/>
          <w:szCs w:val="24"/>
        </w:rPr>
        <w:t>This policy establishes a formal credit policy that requires an enterprise-wide program for managing total counterparty risk.  This policy will set forth clear credit risk management objectives and the process for articulating the credit risk tolerance of the organization.  Lastly, this policy will establish a responsibility hierarchy for measuring and mitigating counterparty risk.</w:t>
      </w:r>
    </w:p>
    <w:p w14:paraId="61DB7511" w14:textId="479095EE" w:rsidR="003A78EA" w:rsidRPr="00E72935" w:rsidRDefault="00522F7F" w:rsidP="009B78FC">
      <w:pPr>
        <w:pStyle w:val="BodyText2"/>
        <w:spacing w:before="0" w:after="200" w:line="276" w:lineRule="auto"/>
        <w:jc w:val="both"/>
        <w:rPr>
          <w:rFonts w:cstheme="minorHAnsi"/>
          <w:color w:val="000000"/>
          <w:szCs w:val="24"/>
        </w:rPr>
      </w:pPr>
      <w:r w:rsidRPr="00E72935">
        <w:rPr>
          <w:rFonts w:cstheme="minorHAnsi"/>
          <w:color w:val="000000"/>
          <w:szCs w:val="24"/>
        </w:rPr>
        <w:t xml:space="preserve">As part of enterprise-wide risk management, credit risk management is a control and oversight activity. It must remain independent from the trading </w:t>
      </w:r>
      <w:r w:rsidR="008A693B" w:rsidRPr="00E72935">
        <w:rPr>
          <w:rFonts w:cstheme="minorHAnsi"/>
          <w:color w:val="000000"/>
          <w:szCs w:val="24"/>
        </w:rPr>
        <w:t>activity but</w:t>
      </w:r>
      <w:r w:rsidRPr="00E72935">
        <w:rPr>
          <w:rFonts w:cstheme="minorHAnsi"/>
          <w:color w:val="000000"/>
          <w:szCs w:val="24"/>
        </w:rPr>
        <w:t xml:space="preserve"> work closely with the business to ensure that credit policies are implemented and maintained.</w:t>
      </w:r>
    </w:p>
    <w:p w14:paraId="05120969" w14:textId="26C10090" w:rsidR="00522F7F" w:rsidRPr="00E72935" w:rsidRDefault="00522F7F" w:rsidP="009B78FC">
      <w:pPr>
        <w:pStyle w:val="BodyText2"/>
        <w:spacing w:before="0" w:after="200" w:line="276" w:lineRule="auto"/>
        <w:jc w:val="both"/>
        <w:rPr>
          <w:rFonts w:cstheme="minorHAnsi"/>
          <w:color w:val="000000" w:themeColor="text1"/>
          <w:szCs w:val="24"/>
        </w:rPr>
      </w:pPr>
      <w:r w:rsidRPr="00E72935">
        <w:rPr>
          <w:rFonts w:cstheme="minorHAnsi"/>
          <w:color w:val="000000" w:themeColor="text1"/>
          <w:szCs w:val="24"/>
        </w:rPr>
        <w:t xml:space="preserve">Definitions used throughout this Credit Policy are defined at the end of this policy in the </w:t>
      </w:r>
      <w:r w:rsidRPr="00E72935">
        <w:rPr>
          <w:rFonts w:cstheme="minorHAnsi"/>
          <w:b/>
          <w:color w:val="000000" w:themeColor="text1"/>
          <w:szCs w:val="24"/>
        </w:rPr>
        <w:t>Definitions</w:t>
      </w:r>
      <w:r w:rsidRPr="00E72935">
        <w:rPr>
          <w:rFonts w:cstheme="minorHAnsi"/>
          <w:color w:val="000000" w:themeColor="text1"/>
          <w:szCs w:val="24"/>
        </w:rPr>
        <w:t xml:space="preserve"> section.</w:t>
      </w:r>
    </w:p>
    <w:p w14:paraId="2E0C1D18" w14:textId="77777777" w:rsidR="00522F7F" w:rsidRPr="00E72935" w:rsidRDefault="00522F7F" w:rsidP="00C86780">
      <w:pPr>
        <w:pStyle w:val="BodyText2"/>
        <w:spacing w:before="0" w:after="0" w:line="276" w:lineRule="auto"/>
        <w:jc w:val="both"/>
        <w:rPr>
          <w:rFonts w:cstheme="minorHAnsi"/>
          <w:b/>
          <w:color w:val="000000"/>
          <w:szCs w:val="24"/>
          <w:u w:val="single"/>
        </w:rPr>
      </w:pPr>
      <w:r w:rsidRPr="00E72935">
        <w:rPr>
          <w:rFonts w:cstheme="minorHAnsi"/>
          <w:b/>
          <w:color w:val="000000"/>
          <w:szCs w:val="24"/>
          <w:u w:val="single"/>
        </w:rPr>
        <w:t xml:space="preserve">Counterparty Creditworthiness </w:t>
      </w:r>
    </w:p>
    <w:p w14:paraId="7DA2DD6A" w14:textId="4BAA1730" w:rsidR="00522F7F" w:rsidRPr="00E72935" w:rsidRDefault="00522F7F" w:rsidP="00C86780">
      <w:pPr>
        <w:pStyle w:val="BodyText2"/>
        <w:spacing w:before="0" w:after="200" w:line="276" w:lineRule="auto"/>
        <w:jc w:val="both"/>
        <w:rPr>
          <w:rFonts w:cstheme="minorHAnsi"/>
          <w:color w:val="000000"/>
          <w:szCs w:val="24"/>
        </w:rPr>
      </w:pPr>
      <w:r w:rsidRPr="00E72935">
        <w:rPr>
          <w:rFonts w:cstheme="minorHAnsi"/>
          <w:color w:val="000000"/>
          <w:szCs w:val="24"/>
        </w:rPr>
        <w:t>It is expected that default risk will increase as the term of a transaction increases. Therefore, KYMEA will expect a higher indication of the creditworthiness of a counterparty for transactions of extended term.</w:t>
      </w:r>
    </w:p>
    <w:p w14:paraId="04D5C473" w14:textId="7B2F5E0A" w:rsidR="00522F7F" w:rsidRPr="00E72935" w:rsidRDefault="00522F7F" w:rsidP="009B78FC">
      <w:pPr>
        <w:pStyle w:val="BodyText2"/>
        <w:tabs>
          <w:tab w:val="left" w:pos="0"/>
          <w:tab w:val="left" w:pos="180"/>
        </w:tabs>
        <w:spacing w:before="0" w:after="200" w:line="276" w:lineRule="auto"/>
        <w:jc w:val="both"/>
        <w:rPr>
          <w:rFonts w:cstheme="minorHAnsi"/>
          <w:color w:val="000000"/>
          <w:szCs w:val="24"/>
        </w:rPr>
      </w:pPr>
      <w:r w:rsidRPr="00E72935">
        <w:rPr>
          <w:rFonts w:cstheme="minorHAnsi"/>
          <w:color w:val="000000"/>
          <w:szCs w:val="24"/>
        </w:rPr>
        <w:t xml:space="preserve">The creditworthiness of each counterparty must be determined through a fundamental analysis of the counterparty’s financial and operational condition. The credit analysis incorporates two basic components, a business profile (qualitative analysis) and a financial profile (quantitative analysis). An Unsecured Credit limit is established as a result of this due diligence process. Unsecured Credit limits up to $10,000,000 may be recommended by the Director of Credit of ACES. </w:t>
      </w:r>
    </w:p>
    <w:p w14:paraId="6CAA9058" w14:textId="4E22FCD5" w:rsidR="00522F7F" w:rsidRPr="00E72935" w:rsidRDefault="00522F7F" w:rsidP="00C86780">
      <w:pPr>
        <w:pStyle w:val="BodyText2"/>
        <w:tabs>
          <w:tab w:val="left" w:pos="0"/>
          <w:tab w:val="left" w:pos="180"/>
        </w:tabs>
        <w:spacing w:before="0" w:after="200" w:line="276" w:lineRule="auto"/>
        <w:jc w:val="both"/>
        <w:rPr>
          <w:rFonts w:cstheme="minorHAnsi"/>
          <w:color w:val="000000"/>
          <w:szCs w:val="24"/>
        </w:rPr>
      </w:pPr>
      <w:r w:rsidRPr="00E72935">
        <w:rPr>
          <w:rFonts w:cstheme="minorHAnsi"/>
          <w:color w:val="000000"/>
          <w:szCs w:val="24"/>
        </w:rPr>
        <w:t>This entire process should be repeated for each counterparty at least annually and at any time when events or circumstances indicate that a counterparty’s creditworthiness may have deteriorated or improved significantly. More frequent reviews may be necessary, at the discretion of ACES Credit Department or at the request of KYMEA.</w:t>
      </w:r>
    </w:p>
    <w:p w14:paraId="6D7B488D" w14:textId="71B09E22" w:rsidR="00522F7F" w:rsidRPr="00E72935" w:rsidRDefault="00522F7F" w:rsidP="00C86780">
      <w:pPr>
        <w:pStyle w:val="BodyText2"/>
        <w:spacing w:before="0" w:after="200" w:line="276" w:lineRule="auto"/>
        <w:jc w:val="both"/>
        <w:rPr>
          <w:rFonts w:cstheme="minorHAnsi"/>
          <w:color w:val="000000"/>
          <w:szCs w:val="24"/>
        </w:rPr>
      </w:pPr>
      <w:r w:rsidRPr="00E72935">
        <w:rPr>
          <w:rFonts w:cstheme="minorHAnsi"/>
          <w:color w:val="000000"/>
          <w:szCs w:val="24"/>
        </w:rPr>
        <w:lastRenderedPageBreak/>
        <w:t>The credit analysis of each counterparty is to be performed by the Credit Department of ACES and submitted with recommendations regarding unsecured credit limits to KYMEA for approval.  The point of contact for KYMEA is the Chief Financial Officer. All formal credit files are to be maintained at the offices of ACES.</w:t>
      </w:r>
    </w:p>
    <w:p w14:paraId="2D9B48FB" w14:textId="77777777" w:rsidR="00522F7F" w:rsidRPr="00E72935" w:rsidRDefault="00522F7F" w:rsidP="00C86780">
      <w:pPr>
        <w:pStyle w:val="BodyText2"/>
        <w:tabs>
          <w:tab w:val="left" w:pos="0"/>
          <w:tab w:val="left" w:pos="180"/>
          <w:tab w:val="left" w:pos="1440"/>
        </w:tabs>
        <w:spacing w:before="0" w:after="0" w:line="276" w:lineRule="auto"/>
        <w:jc w:val="both"/>
        <w:rPr>
          <w:rFonts w:cstheme="minorHAnsi"/>
          <w:b/>
          <w:color w:val="000000"/>
          <w:szCs w:val="24"/>
          <w:u w:val="single"/>
        </w:rPr>
      </w:pPr>
      <w:r w:rsidRPr="00E72935">
        <w:rPr>
          <w:rFonts w:cstheme="minorHAnsi"/>
          <w:b/>
          <w:color w:val="000000"/>
          <w:szCs w:val="24"/>
          <w:u w:val="single"/>
        </w:rPr>
        <w:t>Grouping of Counterparties</w:t>
      </w:r>
    </w:p>
    <w:p w14:paraId="3F853DB9" w14:textId="687A697C" w:rsidR="00522F7F" w:rsidRPr="00E72935" w:rsidRDefault="00522F7F" w:rsidP="009B78FC">
      <w:pPr>
        <w:pStyle w:val="BodyText2"/>
        <w:tabs>
          <w:tab w:val="left" w:pos="0"/>
          <w:tab w:val="left" w:pos="180"/>
          <w:tab w:val="left" w:pos="1440"/>
        </w:tabs>
        <w:spacing w:before="0" w:after="200" w:line="276" w:lineRule="auto"/>
        <w:jc w:val="both"/>
        <w:rPr>
          <w:rFonts w:cstheme="minorHAnsi"/>
          <w:color w:val="000000"/>
          <w:szCs w:val="24"/>
        </w:rPr>
      </w:pPr>
      <w:r w:rsidRPr="00E72935">
        <w:rPr>
          <w:rFonts w:cstheme="minorHAnsi"/>
          <w:color w:val="000000"/>
          <w:szCs w:val="24"/>
        </w:rPr>
        <w:t>Counterparties sharing a common parent or affiliation will be assigned to a group. An Unsecured Credit limit will be assigned to the group with individual Unsecured Credit limits being assigned to each counterparty within the group. The aggregate Unsecured Credit limit of these counterparties will not exceed the established group Unsecured Credit limit.</w:t>
      </w:r>
    </w:p>
    <w:p w14:paraId="3D6C7F3E" w14:textId="2C56B2D4" w:rsidR="00522F7F" w:rsidRPr="00E72935" w:rsidRDefault="00522F7F" w:rsidP="00C86780">
      <w:pPr>
        <w:pStyle w:val="BodyText2"/>
        <w:tabs>
          <w:tab w:val="left" w:pos="0"/>
          <w:tab w:val="left" w:pos="180"/>
          <w:tab w:val="left" w:pos="1440"/>
        </w:tabs>
        <w:spacing w:before="0" w:after="0" w:line="276" w:lineRule="auto"/>
        <w:jc w:val="both"/>
        <w:rPr>
          <w:rFonts w:cstheme="minorHAnsi"/>
          <w:color w:val="000000"/>
          <w:szCs w:val="24"/>
          <w:u w:val="single"/>
        </w:rPr>
      </w:pPr>
      <w:r w:rsidRPr="00E72935">
        <w:rPr>
          <w:rFonts w:cstheme="minorHAnsi"/>
          <w:b/>
          <w:bCs/>
          <w:color w:val="000000"/>
          <w:szCs w:val="24"/>
          <w:u w:val="single"/>
        </w:rPr>
        <w:t>Credit File Documentation</w:t>
      </w:r>
    </w:p>
    <w:p w14:paraId="4E31A652" w14:textId="4AEFEF87" w:rsidR="00522F7F" w:rsidRPr="00E72935" w:rsidRDefault="00522F7F" w:rsidP="00C86780">
      <w:pPr>
        <w:pStyle w:val="BodyText2"/>
        <w:tabs>
          <w:tab w:val="left" w:pos="0"/>
          <w:tab w:val="left" w:pos="180"/>
        </w:tabs>
        <w:spacing w:before="0" w:after="200" w:line="276" w:lineRule="auto"/>
        <w:jc w:val="both"/>
        <w:rPr>
          <w:rFonts w:cstheme="minorHAnsi"/>
          <w:color w:val="000000"/>
          <w:szCs w:val="24"/>
        </w:rPr>
      </w:pPr>
      <w:r w:rsidRPr="00E72935">
        <w:rPr>
          <w:rFonts w:cstheme="minorHAnsi"/>
          <w:color w:val="000000"/>
          <w:szCs w:val="24"/>
        </w:rPr>
        <w:t>Credit analysis, approvals and denials must be documented in writing and all counterparty information shall be contained in formal credit files, which are maintained at the offices of ACES. These credit files are expected to contain audited financial statements (or reference to the website location where the financials can be retrieved) and a credit review analysis report with an unsecured credit limit recommendation signed by the Director of Credit of ACES. These files should also contain as much of the following as possible:</w:t>
      </w:r>
    </w:p>
    <w:p w14:paraId="17B99FDE" w14:textId="325A3613" w:rsidR="00522F7F" w:rsidRPr="00E72935" w:rsidRDefault="00522F7F" w:rsidP="007C17D3">
      <w:pPr>
        <w:pStyle w:val="BodyText2"/>
        <w:numPr>
          <w:ilvl w:val="0"/>
          <w:numId w:val="28"/>
        </w:numPr>
        <w:tabs>
          <w:tab w:val="left" w:pos="0"/>
          <w:tab w:val="left" w:pos="180"/>
          <w:tab w:val="left" w:pos="1440"/>
        </w:tabs>
        <w:spacing w:before="0" w:after="200" w:line="240" w:lineRule="auto"/>
        <w:jc w:val="both"/>
        <w:rPr>
          <w:rFonts w:cstheme="minorHAnsi"/>
          <w:color w:val="000000"/>
          <w:szCs w:val="24"/>
        </w:rPr>
      </w:pPr>
      <w:r w:rsidRPr="00E72935">
        <w:rPr>
          <w:rFonts w:cstheme="minorHAnsi"/>
          <w:color w:val="000000"/>
          <w:szCs w:val="24"/>
        </w:rPr>
        <w:t>At least the two most recent years of audited financial statement information.</w:t>
      </w:r>
    </w:p>
    <w:p w14:paraId="19AA0CD1" w14:textId="7391EAB4" w:rsidR="00522F7F" w:rsidRPr="00E72935" w:rsidRDefault="00522F7F" w:rsidP="007C17D3">
      <w:pPr>
        <w:pStyle w:val="BodyText2"/>
        <w:numPr>
          <w:ilvl w:val="0"/>
          <w:numId w:val="28"/>
        </w:numPr>
        <w:tabs>
          <w:tab w:val="left" w:pos="0"/>
          <w:tab w:val="left" w:pos="180"/>
        </w:tabs>
        <w:spacing w:before="0" w:after="200" w:line="240" w:lineRule="auto"/>
        <w:jc w:val="both"/>
        <w:rPr>
          <w:rFonts w:cstheme="minorHAnsi"/>
          <w:color w:val="000000"/>
          <w:szCs w:val="24"/>
        </w:rPr>
      </w:pPr>
      <w:r w:rsidRPr="00E72935">
        <w:rPr>
          <w:rFonts w:cstheme="minorHAnsi"/>
          <w:color w:val="000000"/>
          <w:szCs w:val="24"/>
        </w:rPr>
        <w:t>Rating information as published by Standard &amp; Poor’s, Fitch, or Moody’s.</w:t>
      </w:r>
    </w:p>
    <w:p w14:paraId="2A9EA26A" w14:textId="2FD06EFB" w:rsidR="00522F7F" w:rsidRPr="00E72935" w:rsidRDefault="00522F7F" w:rsidP="007C17D3">
      <w:pPr>
        <w:pStyle w:val="BodyText2"/>
        <w:numPr>
          <w:ilvl w:val="0"/>
          <w:numId w:val="28"/>
        </w:numPr>
        <w:tabs>
          <w:tab w:val="left" w:pos="0"/>
          <w:tab w:val="left" w:pos="180"/>
        </w:tabs>
        <w:spacing w:before="0" w:after="200" w:line="240" w:lineRule="auto"/>
        <w:jc w:val="both"/>
        <w:rPr>
          <w:rFonts w:cstheme="minorHAnsi"/>
          <w:color w:val="000000"/>
          <w:szCs w:val="24"/>
        </w:rPr>
      </w:pPr>
      <w:r w:rsidRPr="00E72935">
        <w:rPr>
          <w:rFonts w:cstheme="minorHAnsi"/>
          <w:color w:val="000000"/>
          <w:szCs w:val="24"/>
        </w:rPr>
        <w:t>General industry information.</w:t>
      </w:r>
    </w:p>
    <w:p w14:paraId="2A99A601" w14:textId="76888DD4" w:rsidR="00522F7F" w:rsidRPr="00E72935" w:rsidRDefault="00522F7F" w:rsidP="007C17D3">
      <w:pPr>
        <w:pStyle w:val="BodyText2"/>
        <w:numPr>
          <w:ilvl w:val="0"/>
          <w:numId w:val="28"/>
        </w:numPr>
        <w:tabs>
          <w:tab w:val="left" w:pos="0"/>
          <w:tab w:val="left" w:pos="180"/>
        </w:tabs>
        <w:spacing w:before="0" w:after="200" w:line="240" w:lineRule="auto"/>
        <w:jc w:val="both"/>
        <w:rPr>
          <w:rFonts w:cstheme="minorHAnsi"/>
          <w:color w:val="000000"/>
          <w:szCs w:val="24"/>
        </w:rPr>
      </w:pPr>
      <w:r w:rsidRPr="00E72935">
        <w:rPr>
          <w:rFonts w:cstheme="minorHAnsi"/>
          <w:color w:val="000000"/>
          <w:szCs w:val="24"/>
        </w:rPr>
        <w:t>Copies of all credit related correspondence with the counterparty.</w:t>
      </w:r>
    </w:p>
    <w:p w14:paraId="18EDB357" w14:textId="77777777" w:rsidR="00522F7F" w:rsidRPr="00E72935" w:rsidRDefault="00522F7F" w:rsidP="00D7235F">
      <w:pPr>
        <w:pStyle w:val="BodyText2"/>
        <w:tabs>
          <w:tab w:val="left" w:pos="0"/>
          <w:tab w:val="left" w:pos="180"/>
          <w:tab w:val="left" w:pos="1440"/>
        </w:tabs>
        <w:spacing w:before="0" w:after="0" w:line="276" w:lineRule="auto"/>
        <w:jc w:val="both"/>
        <w:rPr>
          <w:rFonts w:cstheme="minorHAnsi"/>
          <w:b/>
          <w:bCs/>
          <w:color w:val="000000"/>
          <w:szCs w:val="24"/>
          <w:u w:val="single"/>
        </w:rPr>
      </w:pPr>
      <w:r w:rsidRPr="00E72935">
        <w:rPr>
          <w:rFonts w:cstheme="minorHAnsi"/>
          <w:b/>
          <w:bCs/>
          <w:color w:val="000000"/>
          <w:szCs w:val="24"/>
          <w:u w:val="single"/>
        </w:rPr>
        <w:t>Contractual Collateral Threshold Approval Authority</w:t>
      </w:r>
    </w:p>
    <w:p w14:paraId="63E80716" w14:textId="7133F118" w:rsidR="00522F7F" w:rsidRPr="00E72935" w:rsidRDefault="00522F7F" w:rsidP="00D7235F">
      <w:pPr>
        <w:pStyle w:val="NormalWeb"/>
        <w:spacing w:before="0"/>
        <w:jc w:val="both"/>
        <w:rPr>
          <w:rFonts w:asciiTheme="minorHAnsi" w:hAnsiTheme="minorHAnsi" w:cstheme="minorHAnsi"/>
          <w:color w:val="000000"/>
        </w:rPr>
      </w:pPr>
      <w:r w:rsidRPr="00E72935">
        <w:rPr>
          <w:rFonts w:asciiTheme="minorHAnsi" w:hAnsiTheme="minorHAnsi" w:cstheme="minorHAnsi"/>
          <w:color w:val="000000"/>
        </w:rPr>
        <w:t xml:space="preserve">Once a counterparty has been determined to be creditworthy, a Collateral Threshold may be extended under the collateral section of a master enabling agreement. </w:t>
      </w:r>
    </w:p>
    <w:p w14:paraId="6BFD3689" w14:textId="52AF2199" w:rsidR="00522F7F" w:rsidRPr="00E72935" w:rsidRDefault="00522F7F" w:rsidP="00D7235F">
      <w:pPr>
        <w:pStyle w:val="NormalWeb"/>
        <w:spacing w:before="0"/>
        <w:jc w:val="both"/>
        <w:rPr>
          <w:rFonts w:asciiTheme="minorHAnsi" w:hAnsiTheme="minorHAnsi" w:cstheme="minorHAnsi"/>
        </w:rPr>
      </w:pPr>
      <w:r w:rsidRPr="00E72935">
        <w:rPr>
          <w:rFonts w:asciiTheme="minorHAnsi" w:hAnsiTheme="minorHAnsi" w:cstheme="minorHAnsi"/>
          <w:color w:val="000000"/>
        </w:rPr>
        <w:t>KYMEA’s approvals will take into consideration Unsecured Credit limit recommendations provided by ACES Credit Department. All approvals must be in writing.  </w:t>
      </w:r>
    </w:p>
    <w:p w14:paraId="740F1F19" w14:textId="3287E36C" w:rsidR="00522F7F" w:rsidRPr="00E72935" w:rsidRDefault="00522F7F" w:rsidP="00D7235F">
      <w:pPr>
        <w:pStyle w:val="NormalWeb"/>
        <w:spacing w:before="0"/>
        <w:jc w:val="both"/>
        <w:rPr>
          <w:rFonts w:asciiTheme="minorHAnsi" w:hAnsiTheme="minorHAnsi" w:cstheme="minorHAnsi"/>
        </w:rPr>
      </w:pPr>
      <w:r w:rsidRPr="00E72935">
        <w:rPr>
          <w:rFonts w:asciiTheme="minorHAnsi" w:hAnsiTheme="minorHAnsi" w:cstheme="minorHAnsi"/>
          <w:color w:val="000000"/>
        </w:rPr>
        <w:t>Authority to approve a Collateral Threshold amount is as follows for counterparties that are deemed creditworthy:</w:t>
      </w:r>
    </w:p>
    <w:p w14:paraId="03290463" w14:textId="12BD1EB9" w:rsidR="00522F7F" w:rsidRPr="00BE2013" w:rsidRDefault="00522F7F" w:rsidP="009B78FC">
      <w:pPr>
        <w:pStyle w:val="NormalWeb"/>
        <w:spacing w:before="0" w:line="240" w:lineRule="auto"/>
        <w:ind w:left="5760" w:hanging="5760"/>
        <w:jc w:val="both"/>
        <w:rPr>
          <w:rFonts w:asciiTheme="minorHAnsi" w:hAnsiTheme="minorHAnsi" w:cstheme="minorHAnsi"/>
          <w:color w:val="000000"/>
        </w:rPr>
      </w:pPr>
      <w:r w:rsidRPr="00BE2013">
        <w:rPr>
          <w:rFonts w:asciiTheme="minorHAnsi" w:hAnsiTheme="minorHAnsi" w:cstheme="minorHAnsi"/>
          <w:color w:val="000000"/>
        </w:rPr>
        <w:t>Chief Financial Officer</w:t>
      </w:r>
      <w:r w:rsidRPr="00BE2013">
        <w:rPr>
          <w:rFonts w:asciiTheme="minorHAnsi" w:hAnsiTheme="minorHAnsi" w:cstheme="minorHAnsi"/>
          <w:color w:val="000000"/>
        </w:rPr>
        <w:tab/>
        <w:t>Up to A</w:t>
      </w:r>
      <w:r w:rsidR="000218D9">
        <w:rPr>
          <w:rFonts w:asciiTheme="minorHAnsi" w:hAnsiTheme="minorHAnsi" w:cstheme="minorHAnsi"/>
          <w:color w:val="000000"/>
        </w:rPr>
        <w:t>CES</w:t>
      </w:r>
      <w:r w:rsidRPr="00BE2013">
        <w:rPr>
          <w:rFonts w:asciiTheme="minorHAnsi" w:hAnsiTheme="minorHAnsi" w:cstheme="minorHAnsi"/>
          <w:color w:val="000000"/>
        </w:rPr>
        <w:t>’s recommendation not to exceed $10 million</w:t>
      </w:r>
    </w:p>
    <w:p w14:paraId="5799F8A5" w14:textId="77777777" w:rsidR="00522F7F" w:rsidRPr="00BE2013" w:rsidRDefault="00522F7F" w:rsidP="009B78FC">
      <w:pPr>
        <w:pStyle w:val="NormalWeb"/>
        <w:spacing w:before="0" w:line="240" w:lineRule="auto"/>
        <w:jc w:val="both"/>
        <w:rPr>
          <w:rFonts w:asciiTheme="minorHAnsi" w:hAnsiTheme="minorHAnsi" w:cstheme="minorHAnsi"/>
        </w:rPr>
      </w:pPr>
      <w:r w:rsidRPr="00BE2013">
        <w:rPr>
          <w:rFonts w:asciiTheme="minorHAnsi" w:hAnsiTheme="minorHAnsi" w:cstheme="minorHAnsi"/>
          <w:color w:val="000000"/>
        </w:rPr>
        <w:t>Chief Executive Officer</w:t>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Fonts w:asciiTheme="minorHAnsi" w:hAnsiTheme="minorHAnsi" w:cstheme="minorHAnsi"/>
          <w:color w:val="000000"/>
        </w:rPr>
        <w:t>Up to $20 million</w:t>
      </w:r>
    </w:p>
    <w:p w14:paraId="48E4B200" w14:textId="77777777" w:rsidR="00522F7F" w:rsidRPr="00BE2013" w:rsidRDefault="00522F7F" w:rsidP="009B78FC">
      <w:pPr>
        <w:pStyle w:val="NormalWeb"/>
        <w:spacing w:before="0" w:line="240" w:lineRule="auto"/>
        <w:jc w:val="both"/>
        <w:rPr>
          <w:rFonts w:asciiTheme="minorHAnsi" w:hAnsiTheme="minorHAnsi" w:cstheme="minorHAnsi"/>
        </w:rPr>
      </w:pPr>
      <w:r w:rsidRPr="00BE2013">
        <w:rPr>
          <w:rFonts w:asciiTheme="minorHAnsi" w:hAnsiTheme="minorHAnsi" w:cstheme="minorHAnsi"/>
          <w:color w:val="000000"/>
        </w:rPr>
        <w:t>Internal Risk Committee</w:t>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rPr>
        <w:tab/>
      </w:r>
      <w:r w:rsidRPr="00BE2013">
        <w:rPr>
          <w:rFonts w:asciiTheme="minorHAnsi" w:hAnsiTheme="minorHAnsi" w:cstheme="minorHAnsi"/>
          <w:color w:val="000000"/>
        </w:rPr>
        <w:t>Up to $50 million</w:t>
      </w:r>
    </w:p>
    <w:p w14:paraId="088D959A" w14:textId="77777777" w:rsidR="00522F7F" w:rsidRPr="00BE2013" w:rsidRDefault="00522F7F" w:rsidP="009B78FC">
      <w:pPr>
        <w:pStyle w:val="NormalWeb"/>
        <w:spacing w:before="0" w:line="240" w:lineRule="auto"/>
        <w:jc w:val="both"/>
        <w:rPr>
          <w:rFonts w:asciiTheme="minorHAnsi" w:hAnsiTheme="minorHAnsi" w:cstheme="minorHAnsi"/>
          <w:color w:val="000000"/>
        </w:rPr>
      </w:pPr>
      <w:r w:rsidRPr="00BE2013">
        <w:rPr>
          <w:rFonts w:asciiTheme="minorHAnsi" w:hAnsiTheme="minorHAnsi" w:cstheme="minorHAnsi"/>
          <w:color w:val="000000"/>
        </w:rPr>
        <w:lastRenderedPageBreak/>
        <w:t>Board Risk Oversight Committee</w:t>
      </w:r>
      <w:r w:rsidRPr="00BE2013">
        <w:rPr>
          <w:rStyle w:val="apple-tab-span"/>
          <w:rFonts w:asciiTheme="minorHAnsi" w:hAnsiTheme="minorHAnsi" w:cstheme="minorHAnsi"/>
          <w:color w:val="000000"/>
        </w:rPr>
        <w:tab/>
      </w:r>
      <w:r w:rsidRPr="00BE2013">
        <w:rPr>
          <w:rStyle w:val="apple-tab-span"/>
          <w:rFonts w:asciiTheme="minorHAnsi" w:hAnsiTheme="minorHAnsi" w:cstheme="minorHAnsi"/>
          <w:color w:val="000000"/>
        </w:rPr>
        <w:tab/>
      </w:r>
      <w:r w:rsidRPr="00BE2013">
        <w:rPr>
          <w:rStyle w:val="apple-tab-span"/>
          <w:rFonts w:asciiTheme="minorHAnsi" w:hAnsiTheme="minorHAnsi" w:cstheme="minorHAnsi"/>
        </w:rPr>
        <w:tab/>
      </w:r>
      <w:r w:rsidRPr="00BE2013">
        <w:rPr>
          <w:rStyle w:val="apple-tab-span"/>
          <w:rFonts w:asciiTheme="minorHAnsi" w:hAnsiTheme="minorHAnsi" w:cstheme="minorHAnsi"/>
        </w:rPr>
        <w:tab/>
      </w:r>
      <w:r w:rsidRPr="00BE2013">
        <w:rPr>
          <w:rFonts w:asciiTheme="minorHAnsi" w:hAnsiTheme="minorHAnsi" w:cstheme="minorHAnsi"/>
          <w:color w:val="000000"/>
        </w:rPr>
        <w:t>Unlimited</w:t>
      </w:r>
    </w:p>
    <w:p w14:paraId="5BCC06DB" w14:textId="77777777" w:rsidR="00522F7F" w:rsidRDefault="00522F7F" w:rsidP="00D7235F">
      <w:pPr>
        <w:pStyle w:val="NormalWeb"/>
        <w:spacing w:before="0" w:after="0"/>
        <w:jc w:val="both"/>
        <w:rPr>
          <w:b/>
          <w:bCs/>
          <w:color w:val="000000"/>
          <w:u w:val="single"/>
        </w:rPr>
      </w:pPr>
      <w:r>
        <w:rPr>
          <w:b/>
          <w:bCs/>
          <w:color w:val="000000"/>
          <w:u w:val="single"/>
        </w:rPr>
        <w:t xml:space="preserve">Trading Credit Limit </w:t>
      </w:r>
      <w:r w:rsidRPr="001D09CE">
        <w:rPr>
          <w:b/>
          <w:bCs/>
          <w:color w:val="000000"/>
          <w:u w:val="single"/>
        </w:rPr>
        <w:t>Approval Authority</w:t>
      </w:r>
    </w:p>
    <w:p w14:paraId="41AC7CD9" w14:textId="6212E6D8" w:rsidR="00522F7F" w:rsidRPr="00E72935" w:rsidRDefault="00522F7F" w:rsidP="00D7235F">
      <w:pPr>
        <w:spacing w:before="0"/>
        <w:jc w:val="both"/>
        <w:rPr>
          <w:rFonts w:cstheme="minorHAnsi"/>
          <w:color w:val="000000"/>
          <w:szCs w:val="24"/>
        </w:rPr>
      </w:pPr>
      <w:r w:rsidRPr="00E72935">
        <w:rPr>
          <w:rFonts w:cstheme="minorHAnsi"/>
          <w:szCs w:val="24"/>
        </w:rPr>
        <w:t>A Trading Credit Limit is designed to limit transactional exposure to desired risk tolerance levels. KYMEA</w:t>
      </w:r>
      <w:r w:rsidRPr="00E72935">
        <w:rPr>
          <w:rFonts w:cstheme="minorHAnsi"/>
          <w:color w:val="000000"/>
          <w:szCs w:val="24"/>
        </w:rPr>
        <w:t xml:space="preserve">’s approvals will take into consideration Unsecured Credit limit recommendations provided by ACES Credit Department. All approvals must be in writing.  </w:t>
      </w:r>
    </w:p>
    <w:p w14:paraId="113E6DF9" w14:textId="77777777" w:rsidR="00522F7F" w:rsidRPr="00E72935" w:rsidRDefault="00522F7F" w:rsidP="00D7235F">
      <w:pPr>
        <w:spacing w:before="0"/>
        <w:jc w:val="both"/>
        <w:rPr>
          <w:rFonts w:cstheme="minorHAnsi"/>
          <w:szCs w:val="24"/>
        </w:rPr>
      </w:pPr>
      <w:r w:rsidRPr="00E72935">
        <w:rPr>
          <w:rFonts w:cstheme="minorHAnsi"/>
          <w:szCs w:val="24"/>
        </w:rPr>
        <w:t>A counterparty’s Trading Credit Limit may result in a larger dollar amount than the approved Collateral Threshold if the counterparty has posted a Letter of Credit and/or cash collateral or if business needs dictate. Conversely, a Trading Credit Limit may result in a lower dollar amount than the Collateral Threshold if there is desire to reduce exposure risk or if business needs dictate.</w:t>
      </w:r>
    </w:p>
    <w:p w14:paraId="7C9D79E1" w14:textId="4A05863E" w:rsidR="00522F7F" w:rsidRPr="00E72935" w:rsidRDefault="00522F7F" w:rsidP="00D7235F">
      <w:pPr>
        <w:pStyle w:val="NormalWeb"/>
        <w:spacing w:before="0"/>
        <w:jc w:val="both"/>
        <w:rPr>
          <w:rFonts w:asciiTheme="minorHAnsi" w:hAnsiTheme="minorHAnsi" w:cstheme="minorHAnsi"/>
        </w:rPr>
      </w:pPr>
      <w:r w:rsidRPr="00E72935">
        <w:rPr>
          <w:rFonts w:asciiTheme="minorHAnsi" w:hAnsiTheme="minorHAnsi" w:cstheme="minorHAnsi"/>
          <w:color w:val="000000"/>
        </w:rPr>
        <w:t>Authority to approve a Trading Credit Limit is as follows for counterparties that are deemed creditworthy:</w:t>
      </w:r>
    </w:p>
    <w:p w14:paraId="40599D5B" w14:textId="72CEE966" w:rsidR="00522F7F" w:rsidRPr="00E72935" w:rsidRDefault="00522F7F" w:rsidP="009B78FC">
      <w:pPr>
        <w:pStyle w:val="NormalWeb"/>
        <w:spacing w:before="0"/>
        <w:ind w:left="5760" w:hanging="5760"/>
        <w:jc w:val="both"/>
        <w:rPr>
          <w:rFonts w:asciiTheme="minorHAnsi" w:hAnsiTheme="minorHAnsi" w:cstheme="minorHAnsi"/>
          <w:color w:val="000000"/>
        </w:rPr>
      </w:pPr>
      <w:r w:rsidRPr="00E72935">
        <w:rPr>
          <w:rFonts w:asciiTheme="minorHAnsi" w:hAnsiTheme="minorHAnsi" w:cstheme="minorHAnsi"/>
          <w:color w:val="000000"/>
        </w:rPr>
        <w:t>Chief Financial Officer</w:t>
      </w:r>
      <w:r w:rsidRPr="00E72935">
        <w:rPr>
          <w:rFonts w:asciiTheme="minorHAnsi" w:hAnsiTheme="minorHAnsi" w:cstheme="minorHAnsi"/>
          <w:color w:val="000000"/>
        </w:rPr>
        <w:tab/>
        <w:t>Up to A</w:t>
      </w:r>
      <w:r w:rsidR="00791932">
        <w:rPr>
          <w:rFonts w:asciiTheme="minorHAnsi" w:hAnsiTheme="minorHAnsi" w:cstheme="minorHAnsi"/>
          <w:color w:val="000000"/>
        </w:rPr>
        <w:t>CES</w:t>
      </w:r>
      <w:r w:rsidRPr="00E72935">
        <w:rPr>
          <w:rFonts w:asciiTheme="minorHAnsi" w:hAnsiTheme="minorHAnsi" w:cstheme="minorHAnsi"/>
          <w:color w:val="000000"/>
        </w:rPr>
        <w:t>’s recommendation not to exceed $10 million</w:t>
      </w:r>
    </w:p>
    <w:p w14:paraId="48F68632" w14:textId="77777777" w:rsidR="00522F7F" w:rsidRPr="00E72935" w:rsidRDefault="00522F7F" w:rsidP="009B78FC">
      <w:pPr>
        <w:pStyle w:val="NormalWeb"/>
        <w:spacing w:before="0"/>
        <w:jc w:val="both"/>
        <w:rPr>
          <w:rFonts w:asciiTheme="minorHAnsi" w:hAnsiTheme="minorHAnsi" w:cstheme="minorHAnsi"/>
        </w:rPr>
      </w:pPr>
      <w:r w:rsidRPr="00E72935">
        <w:rPr>
          <w:rFonts w:asciiTheme="minorHAnsi" w:hAnsiTheme="minorHAnsi" w:cstheme="minorHAnsi"/>
          <w:color w:val="000000"/>
        </w:rPr>
        <w:t>Chief Executive Officer</w:t>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Fonts w:asciiTheme="minorHAnsi" w:hAnsiTheme="minorHAnsi" w:cstheme="minorHAnsi"/>
          <w:color w:val="000000"/>
        </w:rPr>
        <w:t>Up to $20 million</w:t>
      </w:r>
    </w:p>
    <w:p w14:paraId="348719B6" w14:textId="77777777" w:rsidR="00522F7F" w:rsidRPr="00E72935" w:rsidRDefault="00522F7F" w:rsidP="009B78FC">
      <w:pPr>
        <w:pStyle w:val="NormalWeb"/>
        <w:spacing w:before="0"/>
        <w:jc w:val="both"/>
        <w:rPr>
          <w:rFonts w:asciiTheme="minorHAnsi" w:hAnsiTheme="minorHAnsi" w:cstheme="minorHAnsi"/>
        </w:rPr>
      </w:pPr>
      <w:r w:rsidRPr="00E72935">
        <w:rPr>
          <w:rFonts w:asciiTheme="minorHAnsi" w:hAnsiTheme="minorHAnsi" w:cstheme="minorHAnsi"/>
          <w:color w:val="000000"/>
        </w:rPr>
        <w:t>Internal Risk Committee</w:t>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rPr>
        <w:tab/>
      </w:r>
      <w:r w:rsidRPr="00E72935">
        <w:rPr>
          <w:rFonts w:asciiTheme="minorHAnsi" w:hAnsiTheme="minorHAnsi" w:cstheme="minorHAnsi"/>
          <w:color w:val="000000"/>
        </w:rPr>
        <w:t>Up to $50 million</w:t>
      </w:r>
    </w:p>
    <w:p w14:paraId="0D5CC9E8" w14:textId="6D0A8624" w:rsidR="00522F7F" w:rsidRPr="00E72935" w:rsidRDefault="00522F7F" w:rsidP="009B78FC">
      <w:pPr>
        <w:pStyle w:val="NormalWeb"/>
        <w:spacing w:before="0"/>
        <w:jc w:val="both"/>
        <w:rPr>
          <w:rFonts w:asciiTheme="minorHAnsi" w:hAnsiTheme="minorHAnsi" w:cstheme="minorHAnsi"/>
          <w:color w:val="000000"/>
        </w:rPr>
      </w:pPr>
      <w:r w:rsidRPr="00E72935">
        <w:rPr>
          <w:rFonts w:asciiTheme="minorHAnsi" w:hAnsiTheme="minorHAnsi" w:cstheme="minorHAnsi"/>
          <w:color w:val="000000"/>
        </w:rPr>
        <w:t>Board Risk Oversight Committee</w:t>
      </w:r>
      <w:r w:rsidRPr="00E72935">
        <w:rPr>
          <w:rStyle w:val="apple-tab-span"/>
          <w:rFonts w:asciiTheme="minorHAnsi" w:hAnsiTheme="minorHAnsi" w:cstheme="minorHAnsi"/>
          <w:color w:val="000000"/>
        </w:rPr>
        <w:tab/>
      </w:r>
      <w:r w:rsidRPr="00E72935">
        <w:rPr>
          <w:rStyle w:val="apple-tab-span"/>
          <w:rFonts w:asciiTheme="minorHAnsi" w:hAnsiTheme="minorHAnsi" w:cstheme="minorHAnsi"/>
          <w:color w:val="000000"/>
        </w:rPr>
        <w:tab/>
      </w:r>
      <w:r w:rsidRPr="00E72935">
        <w:rPr>
          <w:rStyle w:val="apple-tab-span"/>
          <w:rFonts w:asciiTheme="minorHAnsi" w:hAnsiTheme="minorHAnsi" w:cstheme="minorHAnsi"/>
        </w:rPr>
        <w:tab/>
      </w:r>
      <w:r w:rsidRPr="00E72935">
        <w:rPr>
          <w:rStyle w:val="apple-tab-span"/>
          <w:rFonts w:asciiTheme="minorHAnsi" w:hAnsiTheme="minorHAnsi" w:cstheme="minorHAnsi"/>
        </w:rPr>
        <w:tab/>
      </w:r>
      <w:r w:rsidRPr="00E72935">
        <w:rPr>
          <w:rFonts w:asciiTheme="minorHAnsi" w:hAnsiTheme="minorHAnsi" w:cstheme="minorHAnsi"/>
          <w:color w:val="000000"/>
        </w:rPr>
        <w:t>Unlimited</w:t>
      </w:r>
    </w:p>
    <w:p w14:paraId="7DD7DE8E" w14:textId="0CD17C3A" w:rsidR="00522F7F" w:rsidRPr="00E72935" w:rsidRDefault="00522F7F" w:rsidP="00D7235F">
      <w:pPr>
        <w:pStyle w:val="NormalWeb"/>
        <w:jc w:val="both"/>
        <w:rPr>
          <w:rFonts w:asciiTheme="minorHAnsi" w:hAnsiTheme="minorHAnsi" w:cstheme="minorHAnsi"/>
        </w:rPr>
      </w:pPr>
      <w:r w:rsidRPr="00E72935">
        <w:rPr>
          <w:rFonts w:asciiTheme="minorHAnsi" w:hAnsiTheme="minorHAnsi" w:cstheme="minorHAnsi"/>
          <w:color w:val="000000"/>
        </w:rPr>
        <w:t>The Chief Financial Officer will have the authority to make such approved changes to the counterparty Trading Credit Limits via the ACES Credit Portal.</w:t>
      </w:r>
    </w:p>
    <w:p w14:paraId="0F15E1C7" w14:textId="36425CE1" w:rsidR="00522F7F" w:rsidRPr="00E72935" w:rsidRDefault="00522F7F" w:rsidP="00D7235F">
      <w:pPr>
        <w:pStyle w:val="NormalWeb"/>
        <w:spacing w:before="0"/>
        <w:jc w:val="both"/>
        <w:rPr>
          <w:rFonts w:asciiTheme="minorHAnsi" w:hAnsiTheme="minorHAnsi" w:cstheme="minorHAnsi"/>
          <w:color w:val="000000"/>
        </w:rPr>
      </w:pPr>
      <w:r w:rsidRPr="00E72935">
        <w:rPr>
          <w:rFonts w:asciiTheme="minorHAnsi" w:hAnsiTheme="minorHAnsi" w:cstheme="minorHAnsi"/>
          <w:color w:val="000000"/>
        </w:rPr>
        <w:t>It will be KYMEA’s practice to not approve a Collateral Threshold and/or a Trading Credit Limit for a counterparty or the counterparty’s guarantor that has Credit Ratings below Investment Grade.  However, KYMEA may grant a Collateral Threshold and/or a Trading Credit Limit to a counterparty or the counterparty’s guarantor with a below Investment Grade Credit Rating when approved by Internal Risk Committee.</w:t>
      </w:r>
    </w:p>
    <w:p w14:paraId="26B0FC3C" w14:textId="77777777" w:rsidR="00522F7F" w:rsidRPr="00E72935" w:rsidRDefault="00522F7F" w:rsidP="00D7235F">
      <w:pPr>
        <w:pStyle w:val="NormalWeb"/>
        <w:spacing w:before="0" w:after="0"/>
        <w:jc w:val="both"/>
        <w:rPr>
          <w:rFonts w:asciiTheme="minorHAnsi" w:hAnsiTheme="minorHAnsi" w:cstheme="minorHAnsi"/>
        </w:rPr>
      </w:pPr>
      <w:r w:rsidRPr="00E72935">
        <w:rPr>
          <w:rFonts w:asciiTheme="minorHAnsi" w:hAnsiTheme="minorHAnsi" w:cstheme="minorHAnsi"/>
          <w:b/>
          <w:u w:val="single"/>
        </w:rPr>
        <w:t>Credit Trading Restriction Approval Authority</w:t>
      </w:r>
    </w:p>
    <w:p w14:paraId="4013923E" w14:textId="10A1B94E" w:rsidR="00522F7F" w:rsidRDefault="00522F7F" w:rsidP="00D7235F">
      <w:pPr>
        <w:spacing w:before="0"/>
        <w:jc w:val="both"/>
        <w:rPr>
          <w:rFonts w:cstheme="minorHAnsi"/>
          <w:szCs w:val="24"/>
        </w:rPr>
      </w:pPr>
      <w:r w:rsidRPr="00E72935">
        <w:rPr>
          <w:rFonts w:cstheme="minorHAnsi"/>
          <w:color w:val="000000"/>
          <w:szCs w:val="24"/>
        </w:rPr>
        <w:t xml:space="preserve">KYMEA’s Internal Risk Committee will have the authority to approve Credit Trading Restrictions. KYMEA’s approvals will take into consideration Credit Trading Restriction recommendations provided by the ACES Credit Department. The Chief Financial Officer will have the authority to make such approved changes to the counterparty Credit Trading Restrictions via the ACES Credit Portal. </w:t>
      </w:r>
      <w:r w:rsidRPr="00E72935">
        <w:rPr>
          <w:rFonts w:cstheme="minorHAnsi"/>
          <w:szCs w:val="24"/>
        </w:rPr>
        <w:t>An ACES recommended trading restriction report is periodically distributed and posted to the ACES web site.</w:t>
      </w:r>
    </w:p>
    <w:p w14:paraId="68A03A3E" w14:textId="33225A68" w:rsidR="00522F7F" w:rsidRPr="00E72935" w:rsidRDefault="00522F7F" w:rsidP="00D7235F">
      <w:pPr>
        <w:pStyle w:val="NormalWeb"/>
        <w:spacing w:before="0" w:after="0"/>
        <w:jc w:val="both"/>
        <w:rPr>
          <w:rFonts w:asciiTheme="minorHAnsi" w:hAnsiTheme="minorHAnsi" w:cstheme="minorHAnsi"/>
          <w:b/>
          <w:bCs/>
          <w:color w:val="000000"/>
          <w:u w:val="single"/>
        </w:rPr>
      </w:pPr>
      <w:r w:rsidRPr="00E72935">
        <w:rPr>
          <w:rFonts w:asciiTheme="minorHAnsi" w:hAnsiTheme="minorHAnsi" w:cstheme="minorHAnsi"/>
          <w:b/>
          <w:bCs/>
          <w:color w:val="000000"/>
          <w:u w:val="single"/>
        </w:rPr>
        <w:t>ACES Credit Portal</w:t>
      </w:r>
    </w:p>
    <w:p w14:paraId="773384DF" w14:textId="3ED0819E" w:rsidR="00522F7F" w:rsidRPr="0036710A" w:rsidRDefault="00522F7F" w:rsidP="00D7235F">
      <w:pPr>
        <w:spacing w:before="0"/>
        <w:jc w:val="both"/>
        <w:rPr>
          <w:rFonts w:cstheme="minorHAnsi"/>
          <w:color w:val="000000"/>
          <w:szCs w:val="24"/>
        </w:rPr>
      </w:pPr>
      <w:r w:rsidRPr="00E72935">
        <w:rPr>
          <w:rFonts w:cstheme="minorHAnsi"/>
          <w:color w:val="000000"/>
          <w:szCs w:val="24"/>
        </w:rPr>
        <w:lastRenderedPageBreak/>
        <w:t xml:space="preserve">The ACES Credit Portal is a web-based application, meaning it accessible from inside and outside of KYMEA’s network. If a KYMEA employee with ACES Credit Portal access is terminated, leaves the company, or changes responsibilities within KYMEA, they will still have access to view and/or make updates until their access has been revoked. It is KYMEA’s responsibility to inform ACES Security Management staff [securitymanagement@acespower.com] of such personnel changes to prevent unauthorized changes. </w:t>
      </w:r>
    </w:p>
    <w:p w14:paraId="76DADF6B" w14:textId="3C016DCB" w:rsidR="00522F7F" w:rsidRPr="0036710A" w:rsidRDefault="00522F7F" w:rsidP="00D7235F">
      <w:pPr>
        <w:spacing w:before="0" w:after="0"/>
        <w:jc w:val="both"/>
        <w:rPr>
          <w:rFonts w:cstheme="minorHAnsi"/>
          <w:b/>
          <w:szCs w:val="24"/>
          <w:u w:val="single"/>
        </w:rPr>
      </w:pPr>
      <w:r w:rsidRPr="00E72935">
        <w:rPr>
          <w:rFonts w:cstheme="minorHAnsi"/>
          <w:b/>
          <w:szCs w:val="24"/>
          <w:u w:val="single"/>
        </w:rPr>
        <w:t>Credit Enhancements</w:t>
      </w:r>
    </w:p>
    <w:p w14:paraId="0A0CCDA8" w14:textId="71D7081D" w:rsidR="00522F7F" w:rsidRPr="00E72935" w:rsidRDefault="00522F7F" w:rsidP="00D7235F">
      <w:pPr>
        <w:pStyle w:val="BodyText2"/>
        <w:tabs>
          <w:tab w:val="left" w:pos="0"/>
          <w:tab w:val="left" w:pos="180"/>
        </w:tabs>
        <w:spacing w:before="0" w:after="200" w:line="276" w:lineRule="auto"/>
        <w:jc w:val="both"/>
        <w:rPr>
          <w:rFonts w:cstheme="minorHAnsi"/>
          <w:color w:val="000000"/>
          <w:szCs w:val="24"/>
        </w:rPr>
      </w:pPr>
      <w:r w:rsidRPr="00E72935">
        <w:rPr>
          <w:rFonts w:cstheme="minorHAnsi"/>
          <w:color w:val="000000"/>
          <w:szCs w:val="24"/>
        </w:rPr>
        <w:t>If KYMEA’s business objectives require any additional extension of credit greater than that which is derived from the creditworthiness analysis above, then credit enhancements will be required. The following types of securities are acceptable credit enhancements:</w:t>
      </w:r>
    </w:p>
    <w:p w14:paraId="283A4D72" w14:textId="77777777" w:rsidR="00522F7F" w:rsidRPr="00E72935" w:rsidRDefault="00522F7F" w:rsidP="007C17D3">
      <w:pPr>
        <w:pStyle w:val="BodyText2"/>
        <w:numPr>
          <w:ilvl w:val="0"/>
          <w:numId w:val="27"/>
        </w:numPr>
        <w:tabs>
          <w:tab w:val="left" w:pos="0"/>
          <w:tab w:val="left" w:pos="180"/>
        </w:tabs>
        <w:spacing w:before="0" w:after="200" w:line="240" w:lineRule="auto"/>
        <w:jc w:val="both"/>
        <w:rPr>
          <w:rFonts w:cstheme="minorHAnsi"/>
          <w:color w:val="000000"/>
          <w:szCs w:val="24"/>
          <w:u w:val="single"/>
        </w:rPr>
      </w:pPr>
      <w:r w:rsidRPr="00E72935">
        <w:rPr>
          <w:rFonts w:cstheme="minorHAnsi"/>
          <w:color w:val="000000"/>
          <w:szCs w:val="24"/>
          <w:u w:val="single"/>
        </w:rPr>
        <w:t>Corporate Guarantee</w:t>
      </w:r>
      <w:r w:rsidRPr="00E72935">
        <w:rPr>
          <w:rFonts w:cstheme="minorHAnsi"/>
          <w:color w:val="000000"/>
          <w:szCs w:val="24"/>
        </w:rPr>
        <w:t>: Counterparties may provide a guarantee from a third party that meets the creditworthiness requirements noted above. If a counterparty provides such a guarantee, the amount of any Unsecured Credit will be determined through an analysis of the financial statements and credit ratings, if available, of the guarantor. All guarantees must be in a format that is acceptable to KYMEA.</w:t>
      </w:r>
    </w:p>
    <w:p w14:paraId="776F358B" w14:textId="43317169" w:rsidR="00522F7F" w:rsidRPr="00E72935" w:rsidRDefault="00522F7F" w:rsidP="007C17D3">
      <w:pPr>
        <w:pStyle w:val="BodyText2"/>
        <w:numPr>
          <w:ilvl w:val="0"/>
          <w:numId w:val="27"/>
        </w:numPr>
        <w:tabs>
          <w:tab w:val="left" w:pos="0"/>
          <w:tab w:val="left" w:pos="180"/>
        </w:tabs>
        <w:spacing w:before="0" w:after="200" w:line="240" w:lineRule="auto"/>
        <w:jc w:val="both"/>
        <w:rPr>
          <w:rFonts w:cstheme="minorHAnsi"/>
          <w:color w:val="000000"/>
          <w:szCs w:val="24"/>
        </w:rPr>
      </w:pPr>
      <w:r w:rsidRPr="00E72935">
        <w:rPr>
          <w:rFonts w:cstheme="minorHAnsi"/>
          <w:color w:val="000000"/>
          <w:szCs w:val="24"/>
          <w:u w:val="single"/>
        </w:rPr>
        <w:t>Letter of Credit</w:t>
      </w:r>
      <w:r w:rsidRPr="00E72935">
        <w:rPr>
          <w:rFonts w:cstheme="minorHAnsi"/>
          <w:color w:val="000000"/>
          <w:szCs w:val="24"/>
        </w:rPr>
        <w:t xml:space="preserve">:  Counterparties may provide an irrevocable letter of credit for an amount </w:t>
      </w:r>
      <w:proofErr w:type="gramStart"/>
      <w:r w:rsidRPr="00E72935">
        <w:rPr>
          <w:rFonts w:cstheme="minorHAnsi"/>
          <w:color w:val="000000"/>
          <w:szCs w:val="24"/>
        </w:rPr>
        <w:t>sufficient</w:t>
      </w:r>
      <w:proofErr w:type="gramEnd"/>
      <w:r w:rsidRPr="00E72935">
        <w:rPr>
          <w:rFonts w:cstheme="minorHAnsi"/>
          <w:color w:val="000000"/>
          <w:szCs w:val="24"/>
        </w:rPr>
        <w:t xml:space="preserve"> to cover the related transactions. Letters of credit must be issued by a bank or a financial institution with a rating of at least “A-” from Standard &amp; Poor’s</w:t>
      </w:r>
      <w:r w:rsidR="00D048B6">
        <w:rPr>
          <w:rFonts w:cstheme="minorHAnsi"/>
          <w:color w:val="000000"/>
          <w:szCs w:val="24"/>
        </w:rPr>
        <w:t xml:space="preserve">, </w:t>
      </w:r>
      <w:r w:rsidR="00596B2A">
        <w:rPr>
          <w:rFonts w:cstheme="minorHAnsi"/>
          <w:color w:val="000000"/>
          <w:szCs w:val="24"/>
        </w:rPr>
        <w:t>“</w:t>
      </w:r>
      <w:r w:rsidR="00D048B6">
        <w:rPr>
          <w:rFonts w:cstheme="minorHAnsi"/>
          <w:color w:val="000000"/>
          <w:szCs w:val="24"/>
        </w:rPr>
        <w:t>A</w:t>
      </w:r>
      <w:proofErr w:type="gramStart"/>
      <w:r w:rsidR="00D048B6">
        <w:rPr>
          <w:rFonts w:cstheme="minorHAnsi"/>
          <w:color w:val="000000"/>
          <w:szCs w:val="24"/>
        </w:rPr>
        <w:t>-</w:t>
      </w:r>
      <w:r w:rsidR="00596B2A">
        <w:rPr>
          <w:rFonts w:cstheme="minorHAnsi"/>
          <w:color w:val="000000"/>
          <w:szCs w:val="24"/>
        </w:rPr>
        <w:t>“</w:t>
      </w:r>
      <w:r w:rsidR="00D048B6">
        <w:rPr>
          <w:rFonts w:cstheme="minorHAnsi"/>
          <w:color w:val="000000"/>
          <w:szCs w:val="24"/>
        </w:rPr>
        <w:t xml:space="preserve"> </w:t>
      </w:r>
      <w:r w:rsidR="00596B2A">
        <w:rPr>
          <w:rFonts w:cstheme="minorHAnsi"/>
          <w:color w:val="000000"/>
          <w:szCs w:val="24"/>
        </w:rPr>
        <w:t>from</w:t>
      </w:r>
      <w:proofErr w:type="gramEnd"/>
      <w:r w:rsidR="00596B2A">
        <w:rPr>
          <w:rFonts w:cstheme="minorHAnsi"/>
          <w:color w:val="000000"/>
          <w:szCs w:val="24"/>
        </w:rPr>
        <w:t xml:space="preserve"> </w:t>
      </w:r>
      <w:r w:rsidR="00D048B6">
        <w:rPr>
          <w:rFonts w:cstheme="minorHAnsi"/>
          <w:color w:val="000000"/>
          <w:szCs w:val="24"/>
        </w:rPr>
        <w:t>Fitch</w:t>
      </w:r>
      <w:r w:rsidR="00596B2A">
        <w:rPr>
          <w:rFonts w:cstheme="minorHAnsi"/>
          <w:color w:val="000000"/>
          <w:szCs w:val="24"/>
        </w:rPr>
        <w:t xml:space="preserve">, </w:t>
      </w:r>
      <w:r w:rsidRPr="00E72935">
        <w:rPr>
          <w:rFonts w:cstheme="minorHAnsi"/>
          <w:color w:val="000000"/>
          <w:szCs w:val="24"/>
        </w:rPr>
        <w:t xml:space="preserve">or “A3” from Moody’s. </w:t>
      </w:r>
    </w:p>
    <w:p w14:paraId="68133D7F" w14:textId="77777777" w:rsidR="00522F7F" w:rsidRPr="00E72935" w:rsidRDefault="00522F7F" w:rsidP="007C17D3">
      <w:pPr>
        <w:pStyle w:val="BodyText2"/>
        <w:numPr>
          <w:ilvl w:val="0"/>
          <w:numId w:val="27"/>
        </w:numPr>
        <w:tabs>
          <w:tab w:val="left" w:pos="0"/>
          <w:tab w:val="left" w:pos="180"/>
        </w:tabs>
        <w:spacing w:before="0" w:after="200" w:line="240" w:lineRule="auto"/>
        <w:jc w:val="both"/>
        <w:rPr>
          <w:rFonts w:cstheme="minorHAnsi"/>
          <w:color w:val="000000"/>
          <w:szCs w:val="24"/>
        </w:rPr>
      </w:pPr>
      <w:r w:rsidRPr="00E72935">
        <w:rPr>
          <w:rFonts w:cstheme="minorHAnsi"/>
          <w:color w:val="000000"/>
          <w:szCs w:val="24"/>
          <w:u w:val="single"/>
        </w:rPr>
        <w:t xml:space="preserve">Prepayment </w:t>
      </w:r>
      <w:r w:rsidRPr="00E72935">
        <w:rPr>
          <w:rFonts w:cstheme="minorHAnsi"/>
          <w:color w:val="000000"/>
          <w:szCs w:val="24"/>
        </w:rPr>
        <w:t xml:space="preserve">(margin): Counterparties may provide a prepayment or cash margin deposit that is </w:t>
      </w:r>
      <w:proofErr w:type="gramStart"/>
      <w:r w:rsidRPr="00E72935">
        <w:rPr>
          <w:rFonts w:cstheme="minorHAnsi"/>
          <w:color w:val="000000"/>
          <w:szCs w:val="24"/>
        </w:rPr>
        <w:t>sufficient</w:t>
      </w:r>
      <w:proofErr w:type="gramEnd"/>
      <w:r w:rsidRPr="00E72935">
        <w:rPr>
          <w:rFonts w:cstheme="minorHAnsi"/>
          <w:color w:val="000000"/>
          <w:szCs w:val="24"/>
        </w:rPr>
        <w:t xml:space="preserve"> to cover the related transactions.</w:t>
      </w:r>
    </w:p>
    <w:p w14:paraId="6BAA56F5" w14:textId="0794926D" w:rsidR="00522F7F" w:rsidRPr="00E72935" w:rsidRDefault="00522F7F" w:rsidP="00D7235F">
      <w:pPr>
        <w:pStyle w:val="BodyText2"/>
        <w:tabs>
          <w:tab w:val="left" w:pos="0"/>
          <w:tab w:val="left" w:pos="180"/>
          <w:tab w:val="left" w:pos="1440"/>
        </w:tabs>
        <w:spacing w:before="0" w:after="0" w:line="276" w:lineRule="auto"/>
        <w:jc w:val="both"/>
        <w:rPr>
          <w:rFonts w:cstheme="minorHAnsi"/>
          <w:b/>
          <w:bCs/>
          <w:color w:val="000000"/>
          <w:szCs w:val="24"/>
        </w:rPr>
      </w:pPr>
      <w:r w:rsidRPr="00E72935">
        <w:rPr>
          <w:rFonts w:cstheme="minorHAnsi"/>
          <w:b/>
          <w:bCs/>
          <w:color w:val="000000"/>
          <w:szCs w:val="24"/>
          <w:u w:val="single"/>
        </w:rPr>
        <w:t>Credit Controls</w:t>
      </w:r>
    </w:p>
    <w:p w14:paraId="00D6D85D" w14:textId="77777777" w:rsidR="00522F7F" w:rsidRPr="00E72935"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 xml:space="preserve">In addition to the Credit Trading Restrictions discussed above, an approved list of trading counterparties report noting Credit Trading Restrictions, Trading Credit Limits and Available Credit is distributed on each business day to all ACES traders via e-mail and posted to KYMEA’s ACES web site. </w:t>
      </w:r>
    </w:p>
    <w:p w14:paraId="554EB453" w14:textId="4D9BDE9D" w:rsidR="00522F7F" w:rsidRPr="00E72935"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Under no circumstances should a trade be executed that is in violation of the approved Credit Trading Restriction or Trading Credit Limit, or with a counterparty that does not appear on the approved list of trading counterparties report. An exception may be made if the trade is approved in writing, prior to transaction execution, by Chief Executive Officer in accordance with the dollar limits listed in the Trading Credit Limit Approval Authority section above.</w:t>
      </w:r>
    </w:p>
    <w:p w14:paraId="16075987" w14:textId="77777777" w:rsidR="00522F7F" w:rsidRPr="00E72935" w:rsidRDefault="00522F7F" w:rsidP="00D7235F">
      <w:pPr>
        <w:pStyle w:val="BodyText2"/>
        <w:tabs>
          <w:tab w:val="left" w:pos="0"/>
          <w:tab w:val="left" w:pos="180"/>
          <w:tab w:val="left" w:pos="1440"/>
        </w:tabs>
        <w:spacing w:before="0" w:after="200" w:line="276" w:lineRule="auto"/>
        <w:jc w:val="both"/>
        <w:rPr>
          <w:rFonts w:cstheme="minorHAnsi"/>
          <w:color w:val="000000"/>
          <w:szCs w:val="24"/>
        </w:rPr>
      </w:pPr>
      <w:r w:rsidRPr="00E72935">
        <w:rPr>
          <w:rFonts w:cstheme="minorHAnsi"/>
          <w:color w:val="000000"/>
          <w:szCs w:val="24"/>
        </w:rPr>
        <w:t>Any transactions in violation of this policy will be reported to the KYMEA Internal Risk Committee and the ACES Risk Management Committee in a timely manner by the ACES Credit Department.</w:t>
      </w:r>
    </w:p>
    <w:p w14:paraId="77C883CA" w14:textId="77777777" w:rsidR="00522F7F" w:rsidRPr="00E72935"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 xml:space="preserve">No new transaction(s) shall be </w:t>
      </w:r>
      <w:proofErr w:type="gramStart"/>
      <w:r w:rsidRPr="00E72935">
        <w:rPr>
          <w:rFonts w:cstheme="minorHAnsi"/>
          <w:color w:val="000000"/>
          <w:szCs w:val="24"/>
        </w:rPr>
        <w:t>entered into</w:t>
      </w:r>
      <w:proofErr w:type="gramEnd"/>
      <w:r w:rsidRPr="00E72935">
        <w:rPr>
          <w:rFonts w:cstheme="minorHAnsi"/>
          <w:color w:val="000000"/>
          <w:szCs w:val="24"/>
        </w:rPr>
        <w:t xml:space="preserve"> with a counterparty that has no Available Credit, except: </w:t>
      </w:r>
    </w:p>
    <w:p w14:paraId="36147146" w14:textId="77777777" w:rsidR="00522F7F" w:rsidRPr="00E72935" w:rsidRDefault="00522F7F" w:rsidP="007C17D3">
      <w:pPr>
        <w:pStyle w:val="BodyText2"/>
        <w:numPr>
          <w:ilvl w:val="0"/>
          <w:numId w:val="35"/>
        </w:numPr>
        <w:tabs>
          <w:tab w:val="left" w:pos="0"/>
          <w:tab w:val="left" w:pos="180"/>
          <w:tab w:val="left" w:pos="720"/>
          <w:tab w:val="left" w:pos="1440"/>
        </w:tabs>
        <w:spacing w:before="0" w:after="0" w:line="240" w:lineRule="auto"/>
        <w:jc w:val="both"/>
        <w:rPr>
          <w:rFonts w:cstheme="minorHAnsi"/>
          <w:color w:val="000000"/>
          <w:szCs w:val="24"/>
        </w:rPr>
      </w:pPr>
      <w:r w:rsidRPr="00E72935">
        <w:rPr>
          <w:rFonts w:cstheme="minorHAnsi"/>
          <w:color w:val="000000"/>
          <w:szCs w:val="24"/>
        </w:rPr>
        <w:lastRenderedPageBreak/>
        <w:t xml:space="preserve">as it may mitigate (offset) existing exposure. </w:t>
      </w:r>
    </w:p>
    <w:p w14:paraId="494A677E" w14:textId="77777777" w:rsidR="00522F7F" w:rsidRPr="00E72935" w:rsidRDefault="00522F7F" w:rsidP="007C17D3">
      <w:pPr>
        <w:pStyle w:val="BodyText2"/>
        <w:numPr>
          <w:ilvl w:val="0"/>
          <w:numId w:val="35"/>
        </w:numPr>
        <w:tabs>
          <w:tab w:val="left" w:pos="0"/>
          <w:tab w:val="left" w:pos="180"/>
          <w:tab w:val="left" w:pos="720"/>
          <w:tab w:val="left" w:pos="1440"/>
        </w:tabs>
        <w:spacing w:before="0" w:after="0" w:line="240" w:lineRule="auto"/>
        <w:jc w:val="both"/>
        <w:rPr>
          <w:rFonts w:cstheme="minorHAnsi"/>
          <w:color w:val="000000"/>
          <w:szCs w:val="24"/>
        </w:rPr>
      </w:pPr>
      <w:r w:rsidRPr="00E72935">
        <w:rPr>
          <w:rFonts w:cstheme="minorHAnsi"/>
          <w:color w:val="000000"/>
          <w:szCs w:val="24"/>
        </w:rPr>
        <w:t>transaction does not create new credit exposure at deal execution, or</w:t>
      </w:r>
    </w:p>
    <w:p w14:paraId="7B930158" w14:textId="7A78B8B4" w:rsidR="00522F7F" w:rsidRPr="00FC746F" w:rsidRDefault="00522F7F" w:rsidP="007C17D3">
      <w:pPr>
        <w:pStyle w:val="BodyText2"/>
        <w:numPr>
          <w:ilvl w:val="0"/>
          <w:numId w:val="35"/>
        </w:numPr>
        <w:tabs>
          <w:tab w:val="left" w:pos="0"/>
          <w:tab w:val="left" w:pos="180"/>
          <w:tab w:val="left" w:pos="720"/>
          <w:tab w:val="left" w:pos="1440"/>
        </w:tabs>
        <w:spacing w:before="0" w:line="240" w:lineRule="auto"/>
        <w:jc w:val="both"/>
        <w:rPr>
          <w:rFonts w:cstheme="minorHAnsi"/>
          <w:color w:val="000000"/>
          <w:szCs w:val="24"/>
        </w:rPr>
      </w:pPr>
      <w:r w:rsidRPr="00E72935">
        <w:rPr>
          <w:rFonts w:cstheme="minorHAnsi"/>
          <w:color w:val="000000"/>
          <w:szCs w:val="24"/>
        </w:rPr>
        <w:t>transaction is approved in writing, prior to transaction execution, by the Chief Executive Officer</w:t>
      </w:r>
      <w:r w:rsidRPr="00FC746F">
        <w:rPr>
          <w:rFonts w:cstheme="minorHAnsi"/>
          <w:color w:val="000000"/>
          <w:szCs w:val="24"/>
        </w:rPr>
        <w:t xml:space="preserve"> </w:t>
      </w:r>
    </w:p>
    <w:p w14:paraId="51A791AA" w14:textId="77777777" w:rsidR="00522F7F" w:rsidRPr="00E72935" w:rsidRDefault="00522F7F" w:rsidP="00D7235F">
      <w:pPr>
        <w:pStyle w:val="BodyText2"/>
        <w:tabs>
          <w:tab w:val="left" w:pos="0"/>
          <w:tab w:val="left" w:pos="180"/>
        </w:tabs>
        <w:spacing w:before="0" w:after="0" w:line="276" w:lineRule="auto"/>
        <w:jc w:val="both"/>
        <w:rPr>
          <w:rFonts w:cstheme="minorHAnsi"/>
          <w:b/>
          <w:bCs/>
          <w:color w:val="000000"/>
          <w:szCs w:val="24"/>
          <w:u w:val="single"/>
        </w:rPr>
      </w:pPr>
      <w:r w:rsidRPr="00E72935">
        <w:rPr>
          <w:rFonts w:cstheme="minorHAnsi"/>
          <w:b/>
          <w:bCs/>
          <w:color w:val="000000"/>
          <w:szCs w:val="24"/>
          <w:u w:val="single"/>
        </w:rPr>
        <w:t>Receivables/Payables Management</w:t>
      </w:r>
    </w:p>
    <w:p w14:paraId="206A0DF7" w14:textId="6B89A316" w:rsidR="00522F7F" w:rsidRPr="00FC746F"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Unless otherwise instructed by KYMEA, ACES will consider all receivables/payables to be settled on the payment due date of the executed transaction.</w:t>
      </w:r>
    </w:p>
    <w:p w14:paraId="1FA67C7F" w14:textId="77777777" w:rsidR="00522F7F" w:rsidRPr="00E72935" w:rsidRDefault="00522F7F" w:rsidP="00D7235F">
      <w:pPr>
        <w:pStyle w:val="BodyText2"/>
        <w:tabs>
          <w:tab w:val="left" w:pos="0"/>
          <w:tab w:val="left" w:pos="180"/>
        </w:tabs>
        <w:spacing w:before="0" w:after="0" w:line="276" w:lineRule="auto"/>
        <w:jc w:val="both"/>
        <w:rPr>
          <w:rFonts w:cstheme="minorHAnsi"/>
          <w:b/>
          <w:bCs/>
          <w:color w:val="000000"/>
          <w:szCs w:val="24"/>
        </w:rPr>
      </w:pPr>
      <w:r w:rsidRPr="00E72935">
        <w:rPr>
          <w:rFonts w:cstheme="minorHAnsi"/>
          <w:b/>
          <w:bCs/>
          <w:color w:val="000000"/>
          <w:szCs w:val="24"/>
          <w:u w:val="single"/>
        </w:rPr>
        <w:t>Contract Negotiations</w:t>
      </w:r>
    </w:p>
    <w:p w14:paraId="76009D8E" w14:textId="77777777" w:rsidR="00522F7F" w:rsidRPr="00E72935"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In negotiating agreements and ongoing contractual terms with counterparties, ACES shall strive to include prudent industry practice credit provisions when appropriate. These shall include, but are not limited to, explicit netting agreements and provisions granting ACES the right to call for and receive collateral on behalf of KYMEA in the event the counterparty exceeds its Collateral Threshold or suffers a material adverse credit event.</w:t>
      </w:r>
    </w:p>
    <w:p w14:paraId="5F1326C0" w14:textId="577C6E58" w:rsidR="00522F7F" w:rsidRPr="00E72935" w:rsidRDefault="00522F7F" w:rsidP="00D7235F">
      <w:pPr>
        <w:pStyle w:val="BodyText2"/>
        <w:tabs>
          <w:tab w:val="left" w:pos="0"/>
          <w:tab w:val="left" w:pos="180"/>
          <w:tab w:val="left" w:pos="720"/>
          <w:tab w:val="left" w:pos="1440"/>
        </w:tabs>
        <w:spacing w:before="0" w:after="0" w:line="276" w:lineRule="auto"/>
        <w:jc w:val="both"/>
        <w:rPr>
          <w:rFonts w:cstheme="minorHAnsi"/>
          <w:color w:val="000000"/>
          <w:szCs w:val="24"/>
        </w:rPr>
      </w:pPr>
      <w:r w:rsidRPr="00E72935">
        <w:rPr>
          <w:rFonts w:cstheme="minorHAnsi"/>
          <w:b/>
          <w:bCs/>
          <w:color w:val="000000"/>
          <w:szCs w:val="24"/>
          <w:u w:val="single"/>
        </w:rPr>
        <w:t xml:space="preserve">Credit Information </w:t>
      </w:r>
    </w:p>
    <w:p w14:paraId="7CC28437" w14:textId="77777777" w:rsidR="00522F7F" w:rsidRPr="00E72935"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 xml:space="preserve">When necessary, ACES is authorized to give credit information on KYMEA to counterparties in order to establish credit approvals. </w:t>
      </w:r>
    </w:p>
    <w:p w14:paraId="231EFE6A" w14:textId="442819F4" w:rsidR="00522F7F" w:rsidRPr="00E72935" w:rsidRDefault="00522F7F" w:rsidP="00D7235F">
      <w:pPr>
        <w:spacing w:before="0" w:after="0"/>
        <w:jc w:val="both"/>
        <w:rPr>
          <w:rFonts w:cstheme="minorHAnsi"/>
          <w:color w:val="000000"/>
          <w:szCs w:val="24"/>
        </w:rPr>
      </w:pPr>
      <w:r w:rsidRPr="00E72935">
        <w:rPr>
          <w:rFonts w:cstheme="minorHAnsi"/>
          <w:b/>
          <w:color w:val="000000"/>
          <w:szCs w:val="24"/>
          <w:u w:val="single"/>
        </w:rPr>
        <w:t>Collateral Management</w:t>
      </w:r>
    </w:p>
    <w:p w14:paraId="2D45996A" w14:textId="76D6BEF1" w:rsidR="00522F7F" w:rsidRPr="00E72935" w:rsidRDefault="00522F7F" w:rsidP="00D7235F">
      <w:pPr>
        <w:pStyle w:val="BodyText2"/>
        <w:tabs>
          <w:tab w:val="left" w:pos="0"/>
          <w:tab w:val="left" w:pos="180"/>
          <w:tab w:val="left" w:pos="720"/>
          <w:tab w:val="left" w:pos="1440"/>
        </w:tabs>
        <w:spacing w:before="0" w:after="200" w:line="276" w:lineRule="auto"/>
        <w:jc w:val="both"/>
        <w:rPr>
          <w:rFonts w:cstheme="minorHAnsi"/>
          <w:color w:val="000000"/>
          <w:szCs w:val="24"/>
        </w:rPr>
      </w:pPr>
      <w:r w:rsidRPr="00E72935">
        <w:rPr>
          <w:rFonts w:cstheme="minorHAnsi"/>
          <w:color w:val="000000"/>
          <w:szCs w:val="24"/>
        </w:rPr>
        <w:t xml:space="preserve">ACES is authorized to issue and respond to margin calls on behalf of KYMEA.  ACES will coordinate with Chief Financial Officer regarding the issuance or receipt of collateral to support a transaction. ACES holds no collateral. ACES retains copies of letters of credit and guarantees unless instructed otherwise by KYMEA. </w:t>
      </w:r>
    </w:p>
    <w:p w14:paraId="0AF92C77" w14:textId="111EE577" w:rsidR="00522F7F" w:rsidRPr="00E72935" w:rsidRDefault="00522F7F" w:rsidP="00D7235F">
      <w:pPr>
        <w:pStyle w:val="BodyText2"/>
        <w:tabs>
          <w:tab w:val="left" w:pos="0"/>
          <w:tab w:val="left" w:pos="180"/>
          <w:tab w:val="left" w:pos="720"/>
          <w:tab w:val="left" w:pos="1440"/>
        </w:tabs>
        <w:spacing w:before="0" w:after="0" w:line="276" w:lineRule="auto"/>
        <w:jc w:val="both"/>
        <w:rPr>
          <w:rFonts w:cstheme="minorHAnsi"/>
          <w:color w:val="000000"/>
          <w:szCs w:val="24"/>
        </w:rPr>
      </w:pPr>
      <w:r w:rsidRPr="00E72935">
        <w:rPr>
          <w:rFonts w:cstheme="minorHAnsi"/>
          <w:b/>
          <w:color w:val="000000"/>
          <w:szCs w:val="24"/>
          <w:u w:val="single"/>
        </w:rPr>
        <w:t>Credit Policy Administration</w:t>
      </w:r>
    </w:p>
    <w:p w14:paraId="142B7F8A" w14:textId="77777777" w:rsidR="00522F7F" w:rsidRPr="00E72935" w:rsidRDefault="00522F7F" w:rsidP="00D7235F">
      <w:pPr>
        <w:pStyle w:val="BodyText2"/>
        <w:tabs>
          <w:tab w:val="left" w:pos="0"/>
          <w:tab w:val="left" w:pos="180"/>
          <w:tab w:val="left" w:pos="1440"/>
        </w:tabs>
        <w:spacing w:before="0" w:after="200" w:line="276" w:lineRule="auto"/>
        <w:jc w:val="both"/>
        <w:rPr>
          <w:rFonts w:cstheme="minorHAnsi"/>
          <w:color w:val="000000"/>
          <w:szCs w:val="24"/>
        </w:rPr>
      </w:pPr>
      <w:r w:rsidRPr="00E72935">
        <w:rPr>
          <w:rFonts w:cstheme="minorHAnsi"/>
          <w:color w:val="000000"/>
          <w:szCs w:val="24"/>
        </w:rPr>
        <w:t>The KYMEA Credit Policy is approved by Board Risk Oversight Committee.  From time to time it may be necessary to make changes to these policies and procedures. Amendments to these policies and procedures are to be allowed with approval by the Internal Risk Committee.</w:t>
      </w:r>
    </w:p>
    <w:p w14:paraId="3A066D02" w14:textId="4A5B4EEF" w:rsidR="00522F7F" w:rsidRPr="00E72935" w:rsidRDefault="00522F7F" w:rsidP="00FC746F">
      <w:pPr>
        <w:pStyle w:val="BodyText2"/>
        <w:tabs>
          <w:tab w:val="left" w:pos="0"/>
          <w:tab w:val="left" w:pos="180"/>
        </w:tabs>
        <w:spacing w:before="0" w:after="0" w:line="240" w:lineRule="auto"/>
        <w:jc w:val="both"/>
        <w:rPr>
          <w:rFonts w:cstheme="minorHAnsi"/>
          <w:b/>
          <w:color w:val="000000"/>
          <w:szCs w:val="24"/>
        </w:rPr>
      </w:pPr>
      <w:r w:rsidRPr="00E72935">
        <w:rPr>
          <w:rFonts w:cstheme="minorHAnsi"/>
          <w:b/>
          <w:color w:val="000000"/>
          <w:szCs w:val="24"/>
          <w:u w:val="single"/>
        </w:rPr>
        <w:t>Definitions</w:t>
      </w:r>
    </w:p>
    <w:p w14:paraId="2390B407" w14:textId="77777777" w:rsidR="00522F7F" w:rsidRPr="00E72935" w:rsidRDefault="00522F7F" w:rsidP="007C17D3">
      <w:pPr>
        <w:pStyle w:val="BodyText2"/>
        <w:numPr>
          <w:ilvl w:val="0"/>
          <w:numId w:val="32"/>
        </w:numPr>
        <w:tabs>
          <w:tab w:val="left" w:pos="0"/>
          <w:tab w:val="left" w:pos="180"/>
          <w:tab w:val="left" w:pos="720"/>
          <w:tab w:val="left" w:pos="1440"/>
        </w:tabs>
        <w:spacing w:before="0" w:after="200" w:line="240" w:lineRule="auto"/>
        <w:jc w:val="both"/>
        <w:rPr>
          <w:rFonts w:cstheme="minorHAnsi"/>
          <w:szCs w:val="24"/>
        </w:rPr>
      </w:pPr>
      <w:r w:rsidRPr="00E72935">
        <w:rPr>
          <w:rFonts w:cstheme="minorHAnsi"/>
          <w:b/>
          <w:i/>
          <w:color w:val="000000"/>
          <w:szCs w:val="24"/>
        </w:rPr>
        <w:t>“</w:t>
      </w:r>
      <w:r w:rsidRPr="00E72935">
        <w:rPr>
          <w:rFonts w:cstheme="minorHAnsi"/>
          <w:b/>
          <w:i/>
          <w:szCs w:val="24"/>
        </w:rPr>
        <w:t>Available Credit”</w:t>
      </w:r>
      <w:r w:rsidRPr="00E72935">
        <w:rPr>
          <w:rFonts w:cstheme="minorHAnsi"/>
          <w:szCs w:val="24"/>
        </w:rPr>
        <w:t xml:space="preserve"> means Trading Credit Limit minus Credit Exposure for a counterparty at the contract level.</w:t>
      </w:r>
      <w:r w:rsidRPr="00E72935" w:rsidDel="001D09CE">
        <w:rPr>
          <w:rFonts w:cstheme="minorHAnsi"/>
          <w:szCs w:val="24"/>
        </w:rPr>
        <w:t xml:space="preserve"> </w:t>
      </w:r>
    </w:p>
    <w:p w14:paraId="0BBC4F90" w14:textId="77777777" w:rsidR="00522F7F" w:rsidRPr="00E72935" w:rsidRDefault="00522F7F" w:rsidP="007C17D3">
      <w:pPr>
        <w:pStyle w:val="BodyText2"/>
        <w:numPr>
          <w:ilvl w:val="0"/>
          <w:numId w:val="32"/>
        </w:numPr>
        <w:tabs>
          <w:tab w:val="left" w:pos="0"/>
          <w:tab w:val="left" w:pos="180"/>
        </w:tabs>
        <w:spacing w:before="0" w:after="200" w:line="240" w:lineRule="auto"/>
        <w:jc w:val="both"/>
        <w:rPr>
          <w:rFonts w:cstheme="minorHAnsi"/>
          <w:szCs w:val="24"/>
        </w:rPr>
      </w:pPr>
      <w:r w:rsidRPr="00E72935">
        <w:rPr>
          <w:rFonts w:cstheme="minorHAnsi"/>
          <w:b/>
          <w:i/>
          <w:szCs w:val="24"/>
        </w:rPr>
        <w:t>“Collateral Threshold”</w:t>
      </w:r>
      <w:r w:rsidRPr="00E72935">
        <w:rPr>
          <w:rFonts w:cstheme="minorHAnsi"/>
          <w:b/>
          <w:szCs w:val="24"/>
        </w:rPr>
        <w:t xml:space="preserve"> </w:t>
      </w:r>
      <w:r w:rsidRPr="00E72935">
        <w:rPr>
          <w:rFonts w:cstheme="minorHAnsi"/>
          <w:szCs w:val="24"/>
        </w:rPr>
        <w:t>means Unsecured Credit extended to a counterparty per a master enabling agreement.  </w:t>
      </w:r>
    </w:p>
    <w:p w14:paraId="3C7287C1" w14:textId="77777777" w:rsidR="00522F7F" w:rsidRPr="00E72935" w:rsidRDefault="00522F7F" w:rsidP="007C17D3">
      <w:pPr>
        <w:pStyle w:val="BodyText2"/>
        <w:numPr>
          <w:ilvl w:val="0"/>
          <w:numId w:val="30"/>
        </w:numPr>
        <w:tabs>
          <w:tab w:val="left" w:pos="0"/>
          <w:tab w:val="left" w:pos="180"/>
        </w:tabs>
        <w:spacing w:before="0" w:after="200" w:line="240" w:lineRule="auto"/>
        <w:jc w:val="both"/>
        <w:rPr>
          <w:rFonts w:cstheme="minorHAnsi"/>
          <w:color w:val="000000"/>
          <w:szCs w:val="24"/>
        </w:rPr>
      </w:pPr>
      <w:r w:rsidRPr="00E72935">
        <w:rPr>
          <w:rFonts w:cstheme="minorHAnsi"/>
          <w:b/>
          <w:i/>
          <w:color w:val="000000"/>
          <w:szCs w:val="24"/>
        </w:rPr>
        <w:t>“Credit Exposure”</w:t>
      </w:r>
      <w:r w:rsidRPr="00E72935">
        <w:rPr>
          <w:rFonts w:cstheme="minorHAnsi"/>
          <w:b/>
          <w:color w:val="000000"/>
          <w:szCs w:val="24"/>
        </w:rPr>
        <w:t xml:space="preserve"> </w:t>
      </w:r>
      <w:r w:rsidRPr="00E72935">
        <w:rPr>
          <w:rFonts w:cstheme="minorHAnsi"/>
          <w:color w:val="000000"/>
          <w:szCs w:val="24"/>
        </w:rPr>
        <w:t>is the total amount of counterparty’s credit exposure and is defined as the sum of:</w:t>
      </w:r>
    </w:p>
    <w:p w14:paraId="67AEE3C5" w14:textId="77777777" w:rsidR="00522F7F" w:rsidRPr="00E72935" w:rsidRDefault="00522F7F" w:rsidP="007C17D3">
      <w:pPr>
        <w:pStyle w:val="BodyText2"/>
        <w:numPr>
          <w:ilvl w:val="0"/>
          <w:numId w:val="29"/>
        </w:numPr>
        <w:tabs>
          <w:tab w:val="left" w:pos="0"/>
          <w:tab w:val="left" w:pos="180"/>
        </w:tabs>
        <w:spacing w:before="0" w:after="0" w:line="240" w:lineRule="auto"/>
        <w:jc w:val="both"/>
        <w:rPr>
          <w:rFonts w:cstheme="minorHAnsi"/>
          <w:color w:val="000000"/>
          <w:szCs w:val="24"/>
        </w:rPr>
      </w:pPr>
      <w:r w:rsidRPr="00E72935">
        <w:rPr>
          <w:rFonts w:cstheme="minorHAnsi"/>
          <w:color w:val="000000"/>
          <w:szCs w:val="24"/>
        </w:rPr>
        <w:t>The dollar value of all amounts invoiced and unpaid.</w:t>
      </w:r>
    </w:p>
    <w:p w14:paraId="3B64E937" w14:textId="77777777" w:rsidR="00522F7F" w:rsidRPr="00E72935" w:rsidRDefault="00522F7F" w:rsidP="007C17D3">
      <w:pPr>
        <w:pStyle w:val="BodyText2"/>
        <w:numPr>
          <w:ilvl w:val="0"/>
          <w:numId w:val="29"/>
        </w:numPr>
        <w:tabs>
          <w:tab w:val="left" w:pos="0"/>
          <w:tab w:val="left" w:pos="180"/>
        </w:tabs>
        <w:spacing w:before="0" w:after="0" w:line="240" w:lineRule="auto"/>
        <w:jc w:val="both"/>
        <w:rPr>
          <w:rFonts w:cstheme="minorHAnsi"/>
          <w:color w:val="000000"/>
          <w:szCs w:val="24"/>
        </w:rPr>
      </w:pPr>
      <w:r w:rsidRPr="00E72935">
        <w:rPr>
          <w:rFonts w:cstheme="minorHAnsi"/>
          <w:color w:val="000000"/>
          <w:szCs w:val="24"/>
        </w:rPr>
        <w:t>The dollar amount of all deliveries that have not yet been invoiced.</w:t>
      </w:r>
    </w:p>
    <w:p w14:paraId="2953A4FE" w14:textId="77777777" w:rsidR="00522F7F" w:rsidRPr="00E72935" w:rsidRDefault="00522F7F" w:rsidP="007C17D3">
      <w:pPr>
        <w:pStyle w:val="BodyText2"/>
        <w:numPr>
          <w:ilvl w:val="0"/>
          <w:numId w:val="29"/>
        </w:numPr>
        <w:tabs>
          <w:tab w:val="left" w:pos="0"/>
          <w:tab w:val="left" w:pos="180"/>
        </w:tabs>
        <w:spacing w:before="0" w:after="0" w:line="240" w:lineRule="auto"/>
        <w:jc w:val="both"/>
        <w:rPr>
          <w:rFonts w:cstheme="minorHAnsi"/>
          <w:color w:val="000000"/>
          <w:szCs w:val="24"/>
        </w:rPr>
      </w:pPr>
      <w:r w:rsidRPr="00E72935">
        <w:rPr>
          <w:rFonts w:cstheme="minorHAnsi"/>
          <w:color w:val="000000"/>
          <w:szCs w:val="24"/>
        </w:rPr>
        <w:t>The mark to market value of all forward trades.</w:t>
      </w:r>
    </w:p>
    <w:p w14:paraId="08ED7F17" w14:textId="77777777" w:rsidR="00522F7F" w:rsidRPr="00E72935" w:rsidRDefault="00522F7F" w:rsidP="007C17D3">
      <w:pPr>
        <w:pStyle w:val="BodyText2"/>
        <w:numPr>
          <w:ilvl w:val="0"/>
          <w:numId w:val="29"/>
        </w:numPr>
        <w:tabs>
          <w:tab w:val="left" w:pos="0"/>
          <w:tab w:val="left" w:pos="180"/>
        </w:tabs>
        <w:spacing w:before="0" w:after="200" w:line="240" w:lineRule="auto"/>
        <w:jc w:val="both"/>
        <w:rPr>
          <w:rFonts w:cstheme="minorHAnsi"/>
          <w:szCs w:val="24"/>
        </w:rPr>
      </w:pPr>
      <w:r w:rsidRPr="00E72935">
        <w:rPr>
          <w:rFonts w:cstheme="minorHAnsi"/>
          <w:szCs w:val="24"/>
        </w:rPr>
        <w:lastRenderedPageBreak/>
        <w:t>Less all offsetting amounts that are supported by legally binding netting agreements or Master Agreements.</w:t>
      </w:r>
    </w:p>
    <w:p w14:paraId="709E5B38" w14:textId="0E9F5304" w:rsidR="00522F7F" w:rsidRPr="00E72935" w:rsidRDefault="00522F7F" w:rsidP="007C17D3">
      <w:pPr>
        <w:pStyle w:val="BodyText2"/>
        <w:numPr>
          <w:ilvl w:val="0"/>
          <w:numId w:val="34"/>
        </w:numPr>
        <w:tabs>
          <w:tab w:val="left" w:pos="0"/>
          <w:tab w:val="left" w:pos="180"/>
        </w:tabs>
        <w:spacing w:before="0" w:after="200" w:line="240" w:lineRule="auto"/>
        <w:jc w:val="both"/>
        <w:rPr>
          <w:rFonts w:cstheme="minorHAnsi"/>
          <w:szCs w:val="24"/>
        </w:rPr>
      </w:pPr>
      <w:r w:rsidRPr="00E72935">
        <w:rPr>
          <w:rFonts w:cstheme="minorHAnsi"/>
          <w:b/>
          <w:i/>
          <w:szCs w:val="24"/>
        </w:rPr>
        <w:t>“Credit Rating”</w:t>
      </w:r>
      <w:r w:rsidRPr="00E72935">
        <w:rPr>
          <w:rFonts w:cstheme="minorHAnsi"/>
          <w:b/>
          <w:szCs w:val="24"/>
        </w:rPr>
        <w:t xml:space="preserve"> </w:t>
      </w:r>
      <w:r w:rsidRPr="00E72935">
        <w:rPr>
          <w:rFonts w:cstheme="minorHAnsi"/>
          <w:szCs w:val="24"/>
        </w:rPr>
        <w:t>means, with respect to any entity, the rating then assigned to such entity's unsecured, senior long-term debt obligations not supported by third party credit enhancements</w:t>
      </w:r>
      <w:r w:rsidRPr="00E72935">
        <w:rPr>
          <w:rFonts w:cstheme="minorHAnsi"/>
          <w:bCs/>
          <w:szCs w:val="24"/>
        </w:rPr>
        <w:t xml:space="preserve"> by S</w:t>
      </w:r>
      <w:r w:rsidR="00370FF1">
        <w:rPr>
          <w:rFonts w:cstheme="minorHAnsi"/>
          <w:bCs/>
          <w:szCs w:val="24"/>
        </w:rPr>
        <w:t xml:space="preserve">tandard </w:t>
      </w:r>
      <w:r w:rsidRPr="00E72935">
        <w:rPr>
          <w:rFonts w:cstheme="minorHAnsi"/>
          <w:bCs/>
          <w:szCs w:val="24"/>
        </w:rPr>
        <w:t>&amp;</w:t>
      </w:r>
      <w:r w:rsidR="00370FF1">
        <w:rPr>
          <w:rFonts w:cstheme="minorHAnsi"/>
          <w:bCs/>
          <w:szCs w:val="24"/>
        </w:rPr>
        <w:t xml:space="preserve"> </w:t>
      </w:r>
      <w:r w:rsidRPr="00E72935">
        <w:rPr>
          <w:rFonts w:cstheme="minorHAnsi"/>
          <w:bCs/>
          <w:szCs w:val="24"/>
        </w:rPr>
        <w:t>P</w:t>
      </w:r>
      <w:r w:rsidR="00370FF1">
        <w:rPr>
          <w:rFonts w:cstheme="minorHAnsi"/>
          <w:bCs/>
          <w:szCs w:val="24"/>
        </w:rPr>
        <w:t>oor’s, Fitch,</w:t>
      </w:r>
      <w:r w:rsidRPr="00E72935">
        <w:rPr>
          <w:rFonts w:cstheme="minorHAnsi"/>
          <w:bCs/>
          <w:szCs w:val="24"/>
        </w:rPr>
        <w:t xml:space="preserve"> or Moody’s,</w:t>
      </w:r>
      <w:r w:rsidRPr="00E72935">
        <w:rPr>
          <w:rFonts w:cstheme="minorHAnsi"/>
          <w:szCs w:val="24"/>
        </w:rPr>
        <w:t xml:space="preserve"> or if such entity does not have a rating for its senior unsecured long-term debt obligations, </w:t>
      </w:r>
      <w:bookmarkStart w:id="21" w:name="OLE_LINK4"/>
      <w:bookmarkStart w:id="22" w:name="OLE_LINK5"/>
      <w:r w:rsidRPr="00E72935">
        <w:rPr>
          <w:rFonts w:cstheme="minorHAnsi"/>
          <w:szCs w:val="24"/>
        </w:rPr>
        <w:t>then the entity's issuer credit rating assigned by S</w:t>
      </w:r>
      <w:r w:rsidR="00C80C40">
        <w:rPr>
          <w:rFonts w:cstheme="minorHAnsi"/>
          <w:szCs w:val="24"/>
        </w:rPr>
        <w:t xml:space="preserve">tandard </w:t>
      </w:r>
      <w:r w:rsidRPr="00E72935">
        <w:rPr>
          <w:rFonts w:cstheme="minorHAnsi"/>
          <w:szCs w:val="24"/>
        </w:rPr>
        <w:t>&amp;</w:t>
      </w:r>
      <w:r w:rsidR="00C80C40">
        <w:rPr>
          <w:rFonts w:cstheme="minorHAnsi"/>
          <w:szCs w:val="24"/>
        </w:rPr>
        <w:t xml:space="preserve"> </w:t>
      </w:r>
      <w:r w:rsidRPr="00E72935">
        <w:rPr>
          <w:rFonts w:cstheme="minorHAnsi"/>
          <w:szCs w:val="24"/>
        </w:rPr>
        <w:t>P</w:t>
      </w:r>
      <w:r w:rsidR="00C80C40">
        <w:rPr>
          <w:rFonts w:cstheme="minorHAnsi"/>
          <w:szCs w:val="24"/>
        </w:rPr>
        <w:t xml:space="preserve">oor’s, Fitch, </w:t>
      </w:r>
      <w:r w:rsidRPr="00E72935">
        <w:rPr>
          <w:rFonts w:cstheme="minorHAnsi"/>
          <w:szCs w:val="24"/>
        </w:rPr>
        <w:t xml:space="preserve"> or Moody’s</w:t>
      </w:r>
      <w:bookmarkEnd w:id="21"/>
      <w:bookmarkEnd w:id="22"/>
      <w:r w:rsidRPr="00E72935">
        <w:rPr>
          <w:rFonts w:cstheme="minorHAnsi"/>
          <w:szCs w:val="24"/>
        </w:rPr>
        <w:t xml:space="preserve">. </w:t>
      </w:r>
      <w:r w:rsidRPr="00E72935">
        <w:rPr>
          <w:rFonts w:cstheme="minorHAnsi"/>
          <w:color w:val="000000"/>
          <w:szCs w:val="24"/>
        </w:rPr>
        <w:t>In the event any counterparty is not rated by either Standard &amp; Poor’s</w:t>
      </w:r>
      <w:r w:rsidR="00C80C40">
        <w:rPr>
          <w:rFonts w:cstheme="minorHAnsi"/>
          <w:color w:val="000000"/>
          <w:szCs w:val="24"/>
        </w:rPr>
        <w:t>, Fitch</w:t>
      </w:r>
      <w:r w:rsidR="00C66DA8">
        <w:rPr>
          <w:rFonts w:cstheme="minorHAnsi"/>
          <w:color w:val="000000"/>
          <w:szCs w:val="24"/>
        </w:rPr>
        <w:t>,</w:t>
      </w:r>
      <w:r w:rsidRPr="00E72935">
        <w:rPr>
          <w:rFonts w:cstheme="minorHAnsi"/>
          <w:color w:val="000000"/>
          <w:szCs w:val="24"/>
        </w:rPr>
        <w:t xml:space="preserve"> or Moody’s, then a Credit Rating will be assigned based on the ACES proprietary credit scoring model and approved by ACES Director of Credit.</w:t>
      </w:r>
    </w:p>
    <w:p w14:paraId="5840DF3F" w14:textId="77777777" w:rsidR="00522F7F" w:rsidRPr="00E72935" w:rsidRDefault="00522F7F" w:rsidP="007C17D3">
      <w:pPr>
        <w:pStyle w:val="BodyText2"/>
        <w:numPr>
          <w:ilvl w:val="0"/>
          <w:numId w:val="34"/>
        </w:numPr>
        <w:tabs>
          <w:tab w:val="left" w:pos="0"/>
          <w:tab w:val="left" w:pos="180"/>
        </w:tabs>
        <w:spacing w:before="0" w:after="200" w:line="240" w:lineRule="auto"/>
        <w:jc w:val="both"/>
        <w:rPr>
          <w:rFonts w:cstheme="minorHAnsi"/>
          <w:szCs w:val="24"/>
        </w:rPr>
      </w:pPr>
      <w:r w:rsidRPr="00E72935">
        <w:rPr>
          <w:rFonts w:cstheme="minorHAnsi"/>
          <w:b/>
          <w:i/>
          <w:szCs w:val="24"/>
        </w:rPr>
        <w:t xml:space="preserve">“Credit Trading Restrictions” </w:t>
      </w:r>
      <w:r w:rsidRPr="00E72935">
        <w:rPr>
          <w:rFonts w:cstheme="minorHAnsi"/>
          <w:szCs w:val="24"/>
        </w:rPr>
        <w:t>means limiting trading by transaction type and tenor of transaction with a counterparty to avoid undue risk or exposure</w:t>
      </w:r>
      <w:r w:rsidRPr="00E72935">
        <w:rPr>
          <w:rFonts w:cstheme="minorHAnsi"/>
          <w:b/>
          <w:szCs w:val="24"/>
        </w:rPr>
        <w:t xml:space="preserve">. </w:t>
      </w:r>
    </w:p>
    <w:p w14:paraId="50E114FA" w14:textId="623A3218" w:rsidR="00522F7F" w:rsidRPr="00E72935" w:rsidRDefault="00522F7F" w:rsidP="007C17D3">
      <w:pPr>
        <w:pStyle w:val="BodyText2"/>
        <w:numPr>
          <w:ilvl w:val="0"/>
          <w:numId w:val="34"/>
        </w:numPr>
        <w:tabs>
          <w:tab w:val="left" w:pos="0"/>
          <w:tab w:val="left" w:pos="180"/>
        </w:tabs>
        <w:spacing w:before="0" w:after="200" w:line="240" w:lineRule="auto"/>
        <w:jc w:val="both"/>
        <w:rPr>
          <w:rFonts w:cstheme="minorHAnsi"/>
          <w:szCs w:val="24"/>
        </w:rPr>
      </w:pPr>
      <w:r w:rsidRPr="00E72935">
        <w:rPr>
          <w:rFonts w:cstheme="minorHAnsi"/>
          <w:b/>
          <w:i/>
          <w:szCs w:val="24"/>
        </w:rPr>
        <w:t>“Investment Grade”</w:t>
      </w:r>
      <w:r w:rsidRPr="00E72935">
        <w:rPr>
          <w:rFonts w:cstheme="minorHAnsi"/>
          <w:szCs w:val="24"/>
        </w:rPr>
        <w:t xml:space="preserve"> means a Credit Rating equal to or higher than BBB- by S</w:t>
      </w:r>
      <w:r w:rsidR="00C66DA8">
        <w:rPr>
          <w:rFonts w:cstheme="minorHAnsi"/>
          <w:szCs w:val="24"/>
        </w:rPr>
        <w:t xml:space="preserve">tandard </w:t>
      </w:r>
      <w:r w:rsidRPr="00E72935">
        <w:rPr>
          <w:rFonts w:cstheme="minorHAnsi"/>
          <w:szCs w:val="24"/>
        </w:rPr>
        <w:t>&amp;</w:t>
      </w:r>
      <w:r w:rsidR="00C66DA8">
        <w:rPr>
          <w:rFonts w:cstheme="minorHAnsi"/>
          <w:szCs w:val="24"/>
        </w:rPr>
        <w:t xml:space="preserve"> </w:t>
      </w:r>
      <w:r w:rsidRPr="00E72935">
        <w:rPr>
          <w:rFonts w:cstheme="minorHAnsi"/>
          <w:szCs w:val="24"/>
        </w:rPr>
        <w:t>P</w:t>
      </w:r>
      <w:r w:rsidR="00C66DA8">
        <w:rPr>
          <w:rFonts w:cstheme="minorHAnsi"/>
          <w:szCs w:val="24"/>
        </w:rPr>
        <w:t>oor’s</w:t>
      </w:r>
      <w:r w:rsidRPr="00E72935">
        <w:rPr>
          <w:rFonts w:cstheme="minorHAnsi"/>
          <w:szCs w:val="24"/>
        </w:rPr>
        <w:t>,</w:t>
      </w:r>
      <w:r w:rsidR="00D26FBC">
        <w:rPr>
          <w:rFonts w:cstheme="minorHAnsi"/>
          <w:szCs w:val="24"/>
        </w:rPr>
        <w:t xml:space="preserve"> BBB- by Fitch,</w:t>
      </w:r>
      <w:r w:rsidRPr="00E72935">
        <w:rPr>
          <w:rFonts w:cstheme="minorHAnsi"/>
          <w:szCs w:val="24"/>
        </w:rPr>
        <w:t xml:space="preserve"> Baa3 by Moody’s, or BBB- by ACES proprietary credit scoring model.</w:t>
      </w:r>
    </w:p>
    <w:p w14:paraId="0C3D0F68" w14:textId="0A8F2562" w:rsidR="00522F7F" w:rsidRPr="00E72935" w:rsidRDefault="00522F7F" w:rsidP="007C17D3">
      <w:pPr>
        <w:pStyle w:val="BodyText2"/>
        <w:numPr>
          <w:ilvl w:val="0"/>
          <w:numId w:val="34"/>
        </w:numPr>
        <w:tabs>
          <w:tab w:val="left" w:pos="0"/>
          <w:tab w:val="left" w:pos="180"/>
        </w:tabs>
        <w:spacing w:before="0" w:after="200" w:line="240" w:lineRule="auto"/>
        <w:jc w:val="both"/>
        <w:rPr>
          <w:rFonts w:cstheme="minorHAnsi"/>
          <w:szCs w:val="24"/>
        </w:rPr>
      </w:pPr>
      <w:r w:rsidRPr="00E72935">
        <w:rPr>
          <w:rFonts w:cstheme="minorHAnsi"/>
          <w:b/>
          <w:i/>
          <w:szCs w:val="24"/>
        </w:rPr>
        <w:t>“Trading Credit Limit”</w:t>
      </w:r>
      <w:r w:rsidRPr="00E72935">
        <w:rPr>
          <w:rFonts w:cstheme="minorHAnsi"/>
          <w:b/>
          <w:szCs w:val="24"/>
        </w:rPr>
        <w:t xml:space="preserve"> </w:t>
      </w:r>
      <w:r w:rsidRPr="00E72935">
        <w:rPr>
          <w:rFonts w:cstheme="minorHAnsi"/>
          <w:szCs w:val="24"/>
        </w:rPr>
        <w:t>means an amount that may consist of approved Unsecured Credit and/or any posted collateral that is assigned to counterparties at a contract level for trading purposes.</w:t>
      </w:r>
    </w:p>
    <w:p w14:paraId="09A9D0F8" w14:textId="5D0C2C6D" w:rsidR="00522F7F" w:rsidRPr="00E72935" w:rsidRDefault="00522F7F" w:rsidP="007C17D3">
      <w:pPr>
        <w:pStyle w:val="BodyText2"/>
        <w:numPr>
          <w:ilvl w:val="0"/>
          <w:numId w:val="34"/>
        </w:numPr>
        <w:tabs>
          <w:tab w:val="left" w:pos="0"/>
          <w:tab w:val="left" w:pos="180"/>
        </w:tabs>
        <w:spacing w:before="0" w:after="200" w:line="240" w:lineRule="auto"/>
        <w:jc w:val="both"/>
        <w:rPr>
          <w:rFonts w:cstheme="minorHAnsi"/>
          <w:szCs w:val="24"/>
        </w:rPr>
      </w:pPr>
      <w:r w:rsidRPr="00E72935">
        <w:rPr>
          <w:rFonts w:cstheme="minorHAnsi"/>
          <w:b/>
          <w:i/>
          <w:szCs w:val="24"/>
        </w:rPr>
        <w:t>“Unsecured Credit”</w:t>
      </w:r>
      <w:r w:rsidRPr="00E72935">
        <w:rPr>
          <w:rFonts w:cstheme="minorHAnsi"/>
          <w:b/>
          <w:szCs w:val="24"/>
        </w:rPr>
        <w:t xml:space="preserve"> </w:t>
      </w:r>
      <w:r w:rsidRPr="00E72935">
        <w:rPr>
          <w:rFonts w:cstheme="minorHAnsi"/>
          <w:szCs w:val="24"/>
        </w:rPr>
        <w:t xml:space="preserve">means credit extended only </w:t>
      </w:r>
      <w:proofErr w:type="gramStart"/>
      <w:r w:rsidRPr="00E72935">
        <w:rPr>
          <w:rFonts w:cstheme="minorHAnsi"/>
          <w:szCs w:val="24"/>
        </w:rPr>
        <w:t>on the basis of</w:t>
      </w:r>
      <w:proofErr w:type="gramEnd"/>
      <w:r w:rsidRPr="00E72935">
        <w:rPr>
          <w:rFonts w:cstheme="minorHAnsi"/>
          <w:szCs w:val="24"/>
        </w:rPr>
        <w:t xml:space="preserve"> the debtor’s promise to repay, without any collateral security.</w:t>
      </w:r>
    </w:p>
    <w:p w14:paraId="52C27297" w14:textId="77777777" w:rsidR="00522F7F" w:rsidRPr="00E72935" w:rsidRDefault="00522F7F" w:rsidP="007C17D3">
      <w:pPr>
        <w:pStyle w:val="BodyText2"/>
        <w:numPr>
          <w:ilvl w:val="0"/>
          <w:numId w:val="31"/>
        </w:numPr>
        <w:tabs>
          <w:tab w:val="left" w:pos="0"/>
          <w:tab w:val="left" w:pos="180"/>
        </w:tabs>
        <w:spacing w:before="0" w:after="200" w:line="240" w:lineRule="auto"/>
        <w:jc w:val="both"/>
        <w:rPr>
          <w:rFonts w:cstheme="minorHAnsi"/>
          <w:szCs w:val="24"/>
        </w:rPr>
      </w:pPr>
      <w:r w:rsidRPr="00E72935">
        <w:rPr>
          <w:rFonts w:cstheme="minorHAnsi"/>
          <w:szCs w:val="24"/>
        </w:rPr>
        <w:t>Forms of credit risk are:</w:t>
      </w:r>
    </w:p>
    <w:p w14:paraId="08B2E30D" w14:textId="77777777" w:rsidR="00522F7F" w:rsidRPr="00E72935" w:rsidRDefault="00522F7F" w:rsidP="007C17D3">
      <w:pPr>
        <w:pStyle w:val="BodyText"/>
        <w:numPr>
          <w:ilvl w:val="0"/>
          <w:numId w:val="33"/>
        </w:numPr>
        <w:spacing w:before="0" w:after="0" w:line="240" w:lineRule="auto"/>
        <w:ind w:left="1440" w:hanging="720"/>
        <w:jc w:val="both"/>
        <w:rPr>
          <w:rFonts w:cstheme="minorHAnsi"/>
          <w:szCs w:val="24"/>
        </w:rPr>
      </w:pPr>
      <w:r w:rsidRPr="00E72935">
        <w:rPr>
          <w:rFonts w:cstheme="minorHAnsi"/>
          <w:b/>
          <w:i/>
          <w:szCs w:val="24"/>
        </w:rPr>
        <w:t>“Payment Risk”</w:t>
      </w:r>
      <w:r w:rsidRPr="00E72935">
        <w:rPr>
          <w:rFonts w:cstheme="minorHAnsi"/>
          <w:szCs w:val="24"/>
        </w:rPr>
        <w:t xml:space="preserve"> means the cost exposure to the value of accounts receivable and accrued receivables (delivered but not invoiced).</w:t>
      </w:r>
    </w:p>
    <w:p w14:paraId="5DE26D09" w14:textId="77777777" w:rsidR="00522F7F" w:rsidRPr="00E72935" w:rsidRDefault="00522F7F" w:rsidP="007C17D3">
      <w:pPr>
        <w:pStyle w:val="BodyText"/>
        <w:numPr>
          <w:ilvl w:val="0"/>
          <w:numId w:val="33"/>
        </w:numPr>
        <w:spacing w:before="0" w:after="200" w:line="240" w:lineRule="auto"/>
        <w:ind w:left="1440" w:hanging="720"/>
        <w:jc w:val="both"/>
        <w:rPr>
          <w:rFonts w:cstheme="minorHAnsi"/>
          <w:szCs w:val="24"/>
        </w:rPr>
      </w:pPr>
      <w:r w:rsidRPr="00E72935">
        <w:rPr>
          <w:rFonts w:cstheme="minorHAnsi"/>
          <w:b/>
          <w:i/>
          <w:szCs w:val="24"/>
        </w:rPr>
        <w:t>“Performance (mark to market) Risk”:</w:t>
      </w:r>
      <w:r w:rsidRPr="00E72935">
        <w:rPr>
          <w:rFonts w:cstheme="minorHAnsi"/>
          <w:szCs w:val="24"/>
        </w:rPr>
        <w:t xml:space="preserve"> The cost exposure of replacing the contractual obligations of open contracts in the relevant </w:t>
      </w:r>
      <w:proofErr w:type="gramStart"/>
      <w:r w:rsidRPr="00E72935">
        <w:rPr>
          <w:rFonts w:cstheme="minorHAnsi"/>
          <w:szCs w:val="24"/>
        </w:rPr>
        <w:t>market place</w:t>
      </w:r>
      <w:proofErr w:type="gramEnd"/>
      <w:r w:rsidRPr="00E72935">
        <w:rPr>
          <w:rFonts w:cstheme="minorHAnsi"/>
          <w:szCs w:val="24"/>
        </w:rPr>
        <w:t>.</w:t>
      </w:r>
    </w:p>
    <w:p w14:paraId="527DDE9D" w14:textId="77777777" w:rsidR="00522F7F" w:rsidRPr="00E72935" w:rsidRDefault="00522F7F" w:rsidP="009B78FC">
      <w:pPr>
        <w:pStyle w:val="BodyText2"/>
        <w:tabs>
          <w:tab w:val="left" w:pos="0"/>
          <w:tab w:val="left" w:pos="180"/>
        </w:tabs>
        <w:spacing w:after="200" w:line="240" w:lineRule="auto"/>
        <w:jc w:val="both"/>
        <w:rPr>
          <w:rFonts w:cstheme="minorHAnsi"/>
          <w:b/>
          <w:color w:val="000000"/>
          <w:szCs w:val="24"/>
        </w:rPr>
      </w:pPr>
    </w:p>
    <w:p w14:paraId="7E82EE52" w14:textId="77777777" w:rsidR="004C6CB2" w:rsidRDefault="004C6CB2" w:rsidP="009B78FC">
      <w:pPr>
        <w:spacing w:before="120"/>
        <w:jc w:val="both"/>
        <w:rPr>
          <w:rFonts w:cstheme="minorHAnsi"/>
        </w:rPr>
      </w:pPr>
    </w:p>
    <w:p w14:paraId="7FFDC7A1" w14:textId="77777777" w:rsidR="004C6CB2" w:rsidRDefault="004C6CB2" w:rsidP="009B78FC">
      <w:pPr>
        <w:spacing w:before="120"/>
        <w:jc w:val="both"/>
        <w:rPr>
          <w:rFonts w:cstheme="minorHAnsi"/>
        </w:rPr>
      </w:pPr>
    </w:p>
    <w:p w14:paraId="74E25044" w14:textId="7ABE4C93" w:rsidR="004C6CB2" w:rsidRDefault="004C6CB2" w:rsidP="003A78EA">
      <w:pPr>
        <w:spacing w:after="0"/>
      </w:pPr>
    </w:p>
    <w:p w14:paraId="718C9E0F" w14:textId="3A988CA0" w:rsidR="00FD32B8" w:rsidRDefault="00FD32B8" w:rsidP="003A78EA">
      <w:pPr>
        <w:spacing w:after="0"/>
      </w:pPr>
    </w:p>
    <w:p w14:paraId="04B8A063" w14:textId="77777777" w:rsidR="00FD32B8" w:rsidRDefault="00FD32B8" w:rsidP="00FD32B8"/>
    <w:p w14:paraId="39EDB607" w14:textId="77777777" w:rsidR="00FD32B8" w:rsidRDefault="00FD32B8" w:rsidP="00FD32B8"/>
    <w:p w14:paraId="6F6D0FFE" w14:textId="77777777" w:rsidR="00FD32B8" w:rsidRDefault="00FD32B8" w:rsidP="00FD32B8"/>
    <w:p w14:paraId="460B813A" w14:textId="7A8F7539" w:rsidR="00FD32B8" w:rsidRDefault="00FD32B8" w:rsidP="00FD32B8">
      <w:pPr>
        <w:spacing w:before="120" w:after="120"/>
        <w:jc w:val="both"/>
        <w:rPr>
          <w:rFonts w:cstheme="minorHAnsi"/>
        </w:rPr>
      </w:pPr>
    </w:p>
    <w:p w14:paraId="70F2BF4B" w14:textId="2151F2DC" w:rsidR="00573C48" w:rsidRDefault="00573C48" w:rsidP="00FD32B8">
      <w:pPr>
        <w:spacing w:before="120" w:after="120"/>
        <w:jc w:val="both"/>
        <w:rPr>
          <w:rFonts w:cstheme="minorHAnsi"/>
        </w:rPr>
      </w:pPr>
    </w:p>
    <w:p w14:paraId="5FDE9446" w14:textId="46DA18C4" w:rsidR="00753D18" w:rsidRDefault="00753D18" w:rsidP="00FD32B8">
      <w:pPr>
        <w:spacing w:before="120" w:after="120"/>
        <w:jc w:val="both"/>
        <w:rPr>
          <w:rFonts w:cstheme="minorHAnsi"/>
        </w:rPr>
      </w:pPr>
    </w:p>
    <w:p w14:paraId="37F4E37B" w14:textId="77777777" w:rsidR="00436002" w:rsidRDefault="00436002" w:rsidP="00FD32B8">
      <w:pPr>
        <w:spacing w:before="120" w:after="120"/>
        <w:jc w:val="both"/>
        <w:rPr>
          <w:rFonts w:cstheme="minorHAnsi"/>
        </w:rPr>
      </w:pPr>
    </w:p>
    <w:p w14:paraId="70284975" w14:textId="5496F5A7" w:rsidR="00573C48" w:rsidRDefault="00573C48" w:rsidP="00FD32B8">
      <w:pPr>
        <w:spacing w:before="120" w:after="120"/>
        <w:jc w:val="both"/>
        <w:rPr>
          <w:rFonts w:cstheme="minorHAnsi"/>
        </w:rPr>
      </w:pPr>
    </w:p>
    <w:p w14:paraId="3E5AF417" w14:textId="76C471AB" w:rsidR="00573C48" w:rsidRDefault="00573C48" w:rsidP="00FD32B8">
      <w:pPr>
        <w:spacing w:before="120" w:after="120"/>
        <w:jc w:val="both"/>
        <w:rPr>
          <w:rFonts w:cstheme="minorHAnsi"/>
        </w:rPr>
      </w:pPr>
    </w:p>
    <w:p w14:paraId="69499C2A" w14:textId="47F8D897" w:rsidR="003D2A52" w:rsidRDefault="003D2A52" w:rsidP="00FD32B8">
      <w:pPr>
        <w:spacing w:before="120" w:after="120"/>
        <w:jc w:val="both"/>
        <w:rPr>
          <w:rFonts w:cstheme="minorHAnsi"/>
        </w:rPr>
      </w:pPr>
    </w:p>
    <w:p w14:paraId="62B850D0" w14:textId="77777777" w:rsidR="00FD32B8" w:rsidRDefault="00FD32B8" w:rsidP="00436002">
      <w:pPr>
        <w:pStyle w:val="Title"/>
      </w:pPr>
    </w:p>
    <w:p w14:paraId="540120CA" w14:textId="77777777" w:rsidR="00FD32B8" w:rsidRPr="00190892" w:rsidRDefault="00FD32B8" w:rsidP="00FD32B8">
      <w:pPr>
        <w:pStyle w:val="Title"/>
        <w:jc w:val="center"/>
        <w:rPr>
          <w:rFonts w:ascii="Arial Black" w:hAnsi="Arial Black"/>
          <w:sz w:val="72"/>
          <w:szCs w:val="72"/>
        </w:rPr>
      </w:pPr>
      <w:r>
        <w:rPr>
          <w:rFonts w:ascii="Arial Black" w:hAnsi="Arial Black"/>
          <w:sz w:val="72"/>
          <w:szCs w:val="72"/>
        </w:rPr>
        <w:t>Appendix A</w:t>
      </w:r>
    </w:p>
    <w:p w14:paraId="4A53CE6F" w14:textId="77777777" w:rsidR="00FD32B8" w:rsidRPr="00190892" w:rsidRDefault="00FD32B8" w:rsidP="00FD32B8">
      <w:pPr>
        <w:pStyle w:val="Title"/>
        <w:rPr>
          <w:rFonts w:ascii="Arial Black" w:hAnsi="Arial Black"/>
          <w:sz w:val="72"/>
          <w:szCs w:val="72"/>
        </w:rPr>
      </w:pPr>
      <w:r w:rsidRPr="00190892">
        <w:rPr>
          <w:rFonts w:ascii="Arial Black" w:hAnsi="Arial Black"/>
          <w:noProof/>
          <w:sz w:val="72"/>
          <w:szCs w:val="72"/>
        </w:rPr>
        <mc:AlternateContent>
          <mc:Choice Requires="wps">
            <w:drawing>
              <wp:anchor distT="0" distB="0" distL="114300" distR="114300" simplePos="0" relativeHeight="251666432" behindDoc="0" locked="0" layoutInCell="1" allowOverlap="1" wp14:anchorId="54119863" wp14:editId="420FFDFC">
                <wp:simplePos x="0" y="0"/>
                <wp:positionH relativeFrom="column">
                  <wp:posOffset>563880</wp:posOffset>
                </wp:positionH>
                <wp:positionV relativeFrom="paragraph">
                  <wp:posOffset>318135</wp:posOffset>
                </wp:positionV>
                <wp:extent cx="50444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4444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7D8998C"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4pt,25.05pt" to="441.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" strokecolor="#4472c4 [3204]" strokeweight="1.5pt">
                <v:stroke joinstyle="miter"/>
              </v:line>
            </w:pict>
          </mc:Fallback>
        </mc:AlternateContent>
      </w:r>
    </w:p>
    <w:p w14:paraId="0C234521" w14:textId="3FA23641" w:rsidR="00FD32B8" w:rsidRDefault="00FD32B8" w:rsidP="00FD32B8">
      <w:pPr>
        <w:pStyle w:val="Title"/>
        <w:jc w:val="center"/>
      </w:pPr>
      <w:r>
        <w:rPr>
          <w:rFonts w:ascii="Arial Black" w:hAnsi="Arial Black"/>
        </w:rPr>
        <w:t>Trading Authority Procedures</w:t>
      </w:r>
    </w:p>
    <w:p w14:paraId="401FBD6F" w14:textId="77777777" w:rsidR="00FD32B8" w:rsidRDefault="00FD32B8" w:rsidP="00FD32B8">
      <w:pPr>
        <w:spacing w:before="120" w:after="120"/>
        <w:jc w:val="both"/>
        <w:rPr>
          <w:rFonts w:cstheme="minorHAnsi"/>
        </w:rPr>
      </w:pPr>
    </w:p>
    <w:p w14:paraId="1CB318E1" w14:textId="77777777" w:rsidR="00FD32B8" w:rsidRDefault="00FD32B8" w:rsidP="00FD32B8">
      <w:pPr>
        <w:pStyle w:val="Title"/>
        <w:jc w:val="center"/>
      </w:pPr>
    </w:p>
    <w:p w14:paraId="5770642A" w14:textId="2562D41E" w:rsidR="00FD32B8" w:rsidRDefault="00FD32B8" w:rsidP="00FD32B8">
      <w:pPr>
        <w:pStyle w:val="Title"/>
        <w:jc w:val="center"/>
      </w:pPr>
    </w:p>
    <w:p w14:paraId="5B703FE4" w14:textId="77777777" w:rsidR="00436002" w:rsidRPr="00436002" w:rsidRDefault="00436002" w:rsidP="00436002"/>
    <w:p w14:paraId="0DBF937A" w14:textId="55C014E3" w:rsidR="00FD32B8" w:rsidRDefault="00FD32B8" w:rsidP="00FD32B8">
      <w:pPr>
        <w:pStyle w:val="Title"/>
        <w:jc w:val="center"/>
      </w:pPr>
    </w:p>
    <w:p w14:paraId="44EE28D3" w14:textId="7FA0F0C1" w:rsidR="00436002" w:rsidRDefault="00436002" w:rsidP="00436002"/>
    <w:p w14:paraId="5C410E9A" w14:textId="77777777" w:rsidR="00436002" w:rsidRPr="00436002" w:rsidRDefault="00436002" w:rsidP="00436002"/>
    <w:p w14:paraId="750AB37F" w14:textId="425C31AF" w:rsidR="003B1D34" w:rsidRDefault="003B1D34" w:rsidP="003B1D34"/>
    <w:p w14:paraId="08275D00" w14:textId="60547F27" w:rsidR="00FD32B8" w:rsidRDefault="00956864" w:rsidP="00FD32B8">
      <w:pPr>
        <w:pStyle w:val="Heading1"/>
      </w:pPr>
      <w:bookmarkStart w:id="23" w:name="_Toc8811590"/>
      <w:r>
        <w:lastRenderedPageBreak/>
        <w:t>APPENDIX A</w:t>
      </w:r>
      <w:bookmarkEnd w:id="23"/>
    </w:p>
    <w:p w14:paraId="69276C37" w14:textId="1FCC18DA" w:rsidR="00FD32B8" w:rsidRPr="001B4B51" w:rsidRDefault="00E04B08" w:rsidP="00B270B3">
      <w:pPr>
        <w:pStyle w:val="Heading3"/>
        <w:spacing w:after="240"/>
        <w:rPr>
          <w:rFonts w:cstheme="minorHAnsi"/>
          <w:szCs w:val="24"/>
        </w:rPr>
      </w:pPr>
      <w:bookmarkStart w:id="24" w:name="_Toc8811591"/>
      <w:r w:rsidRPr="001B4B51">
        <w:rPr>
          <w:rFonts w:cstheme="minorHAnsi"/>
          <w:szCs w:val="24"/>
        </w:rPr>
        <w:t>Trading Authority Procedures</w:t>
      </w:r>
      <w:bookmarkEnd w:id="24"/>
    </w:p>
    <w:p w14:paraId="5ED5F899" w14:textId="086E7CFB" w:rsidR="007E0DAE" w:rsidRPr="001B4B51" w:rsidRDefault="00FD32B8" w:rsidP="00B270B3">
      <w:pPr>
        <w:spacing w:before="120" w:after="240"/>
        <w:jc w:val="both"/>
        <w:rPr>
          <w:rFonts w:cstheme="minorHAnsi"/>
          <w:b/>
          <w:szCs w:val="24"/>
        </w:rPr>
      </w:pPr>
      <w:r w:rsidRPr="001B4B51">
        <w:rPr>
          <w:rFonts w:cstheme="minorHAnsi"/>
          <w:b/>
          <w:szCs w:val="24"/>
        </w:rPr>
        <w:t>Policy Purpose</w:t>
      </w:r>
      <w:r w:rsidR="00AF751C" w:rsidRPr="001B4B51">
        <w:rPr>
          <w:rFonts w:cstheme="minorHAnsi"/>
          <w:b/>
          <w:szCs w:val="24"/>
        </w:rPr>
        <w:t>:</w:t>
      </w:r>
    </w:p>
    <w:p w14:paraId="4C6CA8F6" w14:textId="6047F671" w:rsidR="007E0DAE" w:rsidRPr="001B4B51" w:rsidRDefault="007E0DAE" w:rsidP="00B270B3">
      <w:pPr>
        <w:spacing w:after="240"/>
        <w:jc w:val="both"/>
        <w:rPr>
          <w:rFonts w:cstheme="minorHAnsi"/>
          <w:szCs w:val="24"/>
        </w:rPr>
      </w:pPr>
      <w:r w:rsidRPr="001B4B51">
        <w:rPr>
          <w:rFonts w:cstheme="minorHAnsi"/>
          <w:szCs w:val="24"/>
        </w:rPr>
        <w:t xml:space="preserve">The purpose of the Trading Authority Procedures is to define the authority granted by the Kentucky Municipal Energy Agency (“KYMEA”) Board of Directors (“Board”) to the Chief Executive Officer (“CEO”) to execute and delegate authority to execute energy related transactions.  </w:t>
      </w:r>
    </w:p>
    <w:p w14:paraId="7F9AD382" w14:textId="37E9377B" w:rsidR="007E0DAE" w:rsidRPr="001B4B51" w:rsidRDefault="007E0DAE" w:rsidP="00B270B3">
      <w:pPr>
        <w:spacing w:before="0" w:after="240"/>
        <w:jc w:val="both"/>
        <w:rPr>
          <w:rFonts w:cstheme="minorHAnsi"/>
          <w:b/>
          <w:szCs w:val="24"/>
        </w:rPr>
      </w:pPr>
      <w:r w:rsidRPr="001B4B51">
        <w:rPr>
          <w:rFonts w:cstheme="minorHAnsi"/>
          <w:b/>
          <w:szCs w:val="24"/>
        </w:rPr>
        <w:t>OBJECTIVE:</w:t>
      </w:r>
    </w:p>
    <w:p w14:paraId="71B122E0" w14:textId="5DAD8340" w:rsidR="007E0DAE" w:rsidRPr="001B4B51" w:rsidRDefault="00D93B7C" w:rsidP="00B270B3">
      <w:pPr>
        <w:spacing w:before="0" w:after="240"/>
        <w:jc w:val="both"/>
        <w:rPr>
          <w:rFonts w:cstheme="minorHAnsi"/>
          <w:b/>
          <w:szCs w:val="24"/>
        </w:rPr>
      </w:pPr>
      <w:r w:rsidRPr="001B4B51">
        <w:rPr>
          <w:rFonts w:cstheme="minorHAnsi"/>
          <w:b/>
          <w:szCs w:val="24"/>
        </w:rPr>
        <w:t>The objective of KYMEA’s Trading Authority P</w:t>
      </w:r>
      <w:r w:rsidR="004755BF" w:rsidRPr="001B4B51">
        <w:rPr>
          <w:rFonts w:cstheme="minorHAnsi"/>
          <w:b/>
          <w:szCs w:val="24"/>
        </w:rPr>
        <w:t>rocedures is to define:</w:t>
      </w:r>
    </w:p>
    <w:p w14:paraId="4C0F2688"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Who has authority to execute transactions,</w:t>
      </w:r>
    </w:p>
    <w:p w14:paraId="7C4602B9"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The commodities and products that can be transacted,</w:t>
      </w:r>
    </w:p>
    <w:p w14:paraId="24E372D0"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 xml:space="preserve">The authorized lead time and term for each transaction,  </w:t>
      </w:r>
    </w:p>
    <w:p w14:paraId="44B855ED"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The authorized maximum price and volume,</w:t>
      </w:r>
    </w:p>
    <w:p w14:paraId="6EC5400F"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Counterparty contract and credit requirements,</w:t>
      </w:r>
    </w:p>
    <w:p w14:paraId="20376CEC"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 xml:space="preserve">The process for approving new commodities, products or locations, </w:t>
      </w:r>
    </w:p>
    <w:p w14:paraId="095A5BC0"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KYMEA’s intentions regarding hedging and speculating, and</w:t>
      </w:r>
    </w:p>
    <w:p w14:paraId="6A7E8933" w14:textId="77777777" w:rsidR="007E0DAE" w:rsidRPr="001B4B51" w:rsidRDefault="007E0DAE" w:rsidP="007C17D3">
      <w:pPr>
        <w:numPr>
          <w:ilvl w:val="0"/>
          <w:numId w:val="39"/>
        </w:numPr>
        <w:tabs>
          <w:tab w:val="left" w:pos="360"/>
          <w:tab w:val="num" w:pos="720"/>
        </w:tabs>
        <w:spacing w:before="0" w:after="240" w:line="240" w:lineRule="auto"/>
        <w:ind w:left="360"/>
        <w:jc w:val="both"/>
        <w:rPr>
          <w:rFonts w:cstheme="minorHAnsi"/>
          <w:b/>
          <w:szCs w:val="24"/>
        </w:rPr>
      </w:pPr>
      <w:r w:rsidRPr="001B4B51">
        <w:rPr>
          <w:rFonts w:cstheme="minorHAnsi"/>
          <w:szCs w:val="24"/>
        </w:rPr>
        <w:t xml:space="preserve">Other relevant factors associated with due diligence in authorizing transactions to be executed.  </w:t>
      </w:r>
    </w:p>
    <w:p w14:paraId="78581F1A" w14:textId="660DCED6" w:rsidR="004755BF" w:rsidRPr="00597F91" w:rsidRDefault="004755BF" w:rsidP="00597F91">
      <w:pPr>
        <w:spacing w:before="0" w:after="0"/>
        <w:jc w:val="both"/>
        <w:rPr>
          <w:rFonts w:cstheme="minorHAnsi"/>
          <w:b/>
          <w:szCs w:val="24"/>
          <w:u w:val="single"/>
        </w:rPr>
      </w:pPr>
      <w:r w:rsidRPr="00597F91">
        <w:rPr>
          <w:rFonts w:cstheme="minorHAnsi"/>
          <w:b/>
          <w:szCs w:val="24"/>
          <w:u w:val="single"/>
        </w:rPr>
        <w:t>Procedural Requirements</w:t>
      </w:r>
    </w:p>
    <w:p w14:paraId="64DBCBD8" w14:textId="4FB1F02F" w:rsidR="007E0DAE" w:rsidRPr="001B4B51" w:rsidRDefault="007E0DAE" w:rsidP="00597F91">
      <w:pPr>
        <w:spacing w:before="0" w:after="240"/>
        <w:jc w:val="both"/>
        <w:rPr>
          <w:rFonts w:cstheme="minorHAnsi"/>
          <w:szCs w:val="24"/>
        </w:rPr>
      </w:pPr>
      <w:r w:rsidRPr="001B4B51">
        <w:rPr>
          <w:rFonts w:cstheme="minorHAnsi"/>
          <w:szCs w:val="24"/>
        </w:rPr>
        <w:t xml:space="preserve">The procedures documented in these Trading Authority Procedures are compiled in conjunction with goals and strategies set forth in the KYMEA Enterprise Risk Management Policy (the “Risk Management Policy”) as approved by the KYMEA Board on March 28, 2019.  The primary purpose of these authorizations and procedures is to both provide the ability to optimize KYMEA resources that are in excess of their load serving obligations at any point in time, and to mitigate the risks of commodity price fluctuations that have a direct impact on the KYMEA operating costs and cash flows. </w:t>
      </w:r>
    </w:p>
    <w:p w14:paraId="5F28107B" w14:textId="77777777" w:rsidR="007E0DAE" w:rsidRPr="001B4B51" w:rsidRDefault="007E0DAE" w:rsidP="00597F91">
      <w:pPr>
        <w:spacing w:before="0" w:after="240"/>
        <w:jc w:val="both"/>
        <w:rPr>
          <w:rFonts w:cstheme="minorHAnsi"/>
          <w:szCs w:val="24"/>
        </w:rPr>
      </w:pPr>
    </w:p>
    <w:p w14:paraId="1F0D37EB" w14:textId="77777777" w:rsidR="007E0DAE" w:rsidRPr="001B4B51" w:rsidRDefault="007E0DAE" w:rsidP="00597F91">
      <w:pPr>
        <w:spacing w:before="0" w:after="240"/>
        <w:jc w:val="both"/>
        <w:rPr>
          <w:rFonts w:cstheme="minorHAnsi"/>
          <w:szCs w:val="24"/>
        </w:rPr>
      </w:pPr>
      <w:r w:rsidRPr="001B4B51">
        <w:rPr>
          <w:rFonts w:cstheme="minorHAnsi"/>
          <w:szCs w:val="24"/>
        </w:rPr>
        <w:lastRenderedPageBreak/>
        <w:t>It is not the policy of KYMEA to engage in financial or commodity transactions unrelated to underlying physical exposures.</w:t>
      </w:r>
    </w:p>
    <w:p w14:paraId="49710C46" w14:textId="77777777" w:rsidR="007E0DAE" w:rsidRPr="001B4B51" w:rsidRDefault="007E0DAE" w:rsidP="00597F91">
      <w:pPr>
        <w:spacing w:before="0" w:after="240"/>
        <w:jc w:val="both"/>
        <w:rPr>
          <w:rFonts w:cstheme="minorHAnsi"/>
          <w:szCs w:val="24"/>
        </w:rPr>
      </w:pPr>
      <w:r w:rsidRPr="001B4B51">
        <w:rPr>
          <w:rFonts w:cstheme="minorHAnsi"/>
          <w:szCs w:val="24"/>
        </w:rPr>
        <w:t>These procedures are designed to promote efficient and accurate processing of energy hedging activities, effective preparation and distribution of information relating to hedging activities, and effective independent monitoring of the portfolio of risks.</w:t>
      </w:r>
    </w:p>
    <w:p w14:paraId="7BE3BDB4" w14:textId="77777777" w:rsidR="007E0DAE" w:rsidRPr="001B4B51" w:rsidRDefault="007E0DAE" w:rsidP="00597F91">
      <w:pPr>
        <w:spacing w:before="0" w:after="240"/>
        <w:jc w:val="both"/>
        <w:rPr>
          <w:rFonts w:cstheme="minorHAnsi"/>
          <w:szCs w:val="24"/>
        </w:rPr>
      </w:pPr>
      <w:r w:rsidRPr="001B4B51">
        <w:rPr>
          <w:rFonts w:cstheme="minorHAnsi"/>
          <w:szCs w:val="24"/>
        </w:rPr>
        <w:t>These procedures are to be maintained, reviewed and approved at least annually by the Board Risk Management Oversight Committee (BROC) consistent with the Risk Management Policy.  Amendments to these procedures will be submitted to the BROC for consideration and approval.</w:t>
      </w:r>
    </w:p>
    <w:p w14:paraId="043F7121" w14:textId="5CC50A73" w:rsidR="007E0DAE" w:rsidRPr="001B4B51" w:rsidRDefault="00A908B5" w:rsidP="00D92063">
      <w:pPr>
        <w:spacing w:before="0" w:after="0"/>
        <w:jc w:val="both"/>
        <w:rPr>
          <w:rFonts w:cstheme="minorHAnsi"/>
          <w:szCs w:val="24"/>
        </w:rPr>
      </w:pPr>
      <w:r>
        <w:rPr>
          <w:rFonts w:cstheme="minorHAnsi"/>
          <w:b/>
          <w:szCs w:val="24"/>
          <w:u w:val="single"/>
        </w:rPr>
        <w:t>Executi</w:t>
      </w:r>
      <w:r w:rsidR="00D92063">
        <w:rPr>
          <w:rFonts w:cstheme="minorHAnsi"/>
          <w:b/>
          <w:szCs w:val="24"/>
          <w:u w:val="single"/>
        </w:rPr>
        <w:t>on Authority</w:t>
      </w:r>
    </w:p>
    <w:p w14:paraId="08A74366" w14:textId="47E44852" w:rsidR="007E0DAE" w:rsidRPr="001B4B51" w:rsidRDefault="007E0DAE" w:rsidP="00D92063">
      <w:pPr>
        <w:spacing w:before="0" w:after="240"/>
        <w:jc w:val="both"/>
        <w:rPr>
          <w:rFonts w:cstheme="minorHAnsi"/>
          <w:szCs w:val="24"/>
        </w:rPr>
      </w:pPr>
      <w:r w:rsidRPr="001B4B51">
        <w:rPr>
          <w:rFonts w:cstheme="minorHAnsi"/>
          <w:szCs w:val="24"/>
        </w:rPr>
        <w:t>The CEO will maintain an ongoing position report that includes a compilation of KYMEA’s rights to each of the portfolio’s resources.  This report will include:</w:t>
      </w:r>
    </w:p>
    <w:p w14:paraId="6280E2ED" w14:textId="4236CB3B" w:rsidR="007E0DAE" w:rsidRPr="00D92063" w:rsidRDefault="007E0DAE" w:rsidP="007C17D3">
      <w:pPr>
        <w:pStyle w:val="ListParagraph"/>
        <w:numPr>
          <w:ilvl w:val="0"/>
          <w:numId w:val="31"/>
        </w:numPr>
        <w:spacing w:before="0" w:after="240" w:line="240" w:lineRule="auto"/>
        <w:jc w:val="both"/>
        <w:rPr>
          <w:rFonts w:cstheme="minorHAnsi"/>
          <w:szCs w:val="24"/>
        </w:rPr>
      </w:pPr>
      <w:r w:rsidRPr="00D92063">
        <w:rPr>
          <w:rFonts w:cstheme="minorHAnsi"/>
          <w:szCs w:val="24"/>
        </w:rPr>
        <w:t>Forecasted available resources on an hour, day, week, month and year ahead basis</w:t>
      </w:r>
    </w:p>
    <w:p w14:paraId="49FA318D" w14:textId="21E6B479" w:rsidR="007E0DAE" w:rsidRPr="00D92063" w:rsidRDefault="007E0DAE" w:rsidP="007C17D3">
      <w:pPr>
        <w:pStyle w:val="ListParagraph"/>
        <w:numPr>
          <w:ilvl w:val="0"/>
          <w:numId w:val="31"/>
        </w:numPr>
        <w:spacing w:before="0" w:after="240" w:line="240" w:lineRule="auto"/>
        <w:jc w:val="both"/>
        <w:rPr>
          <w:rFonts w:cstheme="minorHAnsi"/>
          <w:szCs w:val="24"/>
        </w:rPr>
      </w:pPr>
      <w:r w:rsidRPr="00D92063">
        <w:rPr>
          <w:rFonts w:cstheme="minorHAnsi"/>
          <w:szCs w:val="24"/>
        </w:rPr>
        <w:t>Forecasted load serving obligations for the same corresponding time periods</w:t>
      </w:r>
    </w:p>
    <w:p w14:paraId="1E4BCFC8" w14:textId="77777777" w:rsidR="007E0DAE" w:rsidRPr="00D92063" w:rsidRDefault="007E0DAE" w:rsidP="007C17D3">
      <w:pPr>
        <w:pStyle w:val="ListParagraph"/>
        <w:numPr>
          <w:ilvl w:val="0"/>
          <w:numId w:val="31"/>
        </w:numPr>
        <w:spacing w:before="0" w:after="240" w:line="240" w:lineRule="auto"/>
        <w:jc w:val="both"/>
        <w:rPr>
          <w:rFonts w:cstheme="minorHAnsi"/>
          <w:szCs w:val="24"/>
        </w:rPr>
      </w:pPr>
      <w:r w:rsidRPr="00D92063">
        <w:rPr>
          <w:rFonts w:cstheme="minorHAnsi"/>
          <w:szCs w:val="24"/>
        </w:rPr>
        <w:t>Calculation of excess resources available for sale or shortfall of resources necessary to meet KYMEA load serving obligations</w:t>
      </w:r>
    </w:p>
    <w:p w14:paraId="1AD8E8CD" w14:textId="6EB1B2FE" w:rsidR="007E0DAE" w:rsidRPr="001B4B51" w:rsidRDefault="007E0DAE" w:rsidP="00B54885">
      <w:pPr>
        <w:spacing w:before="0" w:after="240" w:line="240" w:lineRule="auto"/>
        <w:jc w:val="both"/>
        <w:rPr>
          <w:rFonts w:cstheme="minorHAnsi"/>
          <w:szCs w:val="24"/>
        </w:rPr>
      </w:pPr>
      <w:r w:rsidRPr="001B4B51">
        <w:rPr>
          <w:rFonts w:cstheme="minorHAnsi"/>
          <w:szCs w:val="24"/>
        </w:rPr>
        <w:t>The President and CEO shall be authorized to approve transactions that optimize the use of existing assets and rights approved and under contract that include the following;</w:t>
      </w:r>
    </w:p>
    <w:p w14:paraId="043319CD" w14:textId="40E73BD8" w:rsidR="007E0DAE" w:rsidRPr="007C17D3" w:rsidRDefault="007E0DAE" w:rsidP="007C17D3">
      <w:pPr>
        <w:pStyle w:val="ListParagraph"/>
        <w:numPr>
          <w:ilvl w:val="0"/>
          <w:numId w:val="40"/>
        </w:numPr>
        <w:spacing w:before="0" w:after="240" w:line="240" w:lineRule="auto"/>
        <w:jc w:val="both"/>
        <w:rPr>
          <w:rFonts w:cstheme="minorHAnsi"/>
          <w:szCs w:val="24"/>
        </w:rPr>
      </w:pPr>
      <w:r w:rsidRPr="007C17D3">
        <w:rPr>
          <w:rFonts w:cstheme="minorHAnsi"/>
          <w:szCs w:val="24"/>
        </w:rPr>
        <w:t>Existing Portfolio Resources</w:t>
      </w:r>
    </w:p>
    <w:p w14:paraId="474D7E50" w14:textId="77777777" w:rsidR="0032101B" w:rsidRDefault="007E0DAE" w:rsidP="007C17D3">
      <w:pPr>
        <w:pStyle w:val="ListParagraph"/>
        <w:numPr>
          <w:ilvl w:val="1"/>
          <w:numId w:val="40"/>
        </w:numPr>
        <w:spacing w:before="0" w:after="240" w:line="240" w:lineRule="auto"/>
        <w:jc w:val="both"/>
        <w:rPr>
          <w:rFonts w:cstheme="minorHAnsi"/>
          <w:szCs w:val="24"/>
        </w:rPr>
      </w:pPr>
      <w:r w:rsidRPr="00730567">
        <w:rPr>
          <w:rFonts w:cstheme="minorHAnsi"/>
          <w:szCs w:val="24"/>
        </w:rPr>
        <w:t>All rights to electric capacity and energy in the form of PPA’s, self-owned generation assets, and pre-approved hedge instruments and options</w:t>
      </w:r>
    </w:p>
    <w:p w14:paraId="1F53CA22" w14:textId="77777777" w:rsidR="0032101B" w:rsidRDefault="007E0DAE" w:rsidP="007C17D3">
      <w:pPr>
        <w:pStyle w:val="ListParagraph"/>
        <w:numPr>
          <w:ilvl w:val="1"/>
          <w:numId w:val="40"/>
        </w:numPr>
        <w:spacing w:before="0" w:after="240" w:line="240" w:lineRule="auto"/>
        <w:jc w:val="both"/>
        <w:rPr>
          <w:rFonts w:cstheme="minorHAnsi"/>
          <w:szCs w:val="24"/>
        </w:rPr>
      </w:pPr>
      <w:r w:rsidRPr="0032101B">
        <w:rPr>
          <w:rFonts w:cstheme="minorHAnsi"/>
          <w:szCs w:val="24"/>
        </w:rPr>
        <w:t>Electric transmission owned assets and subscription rights</w:t>
      </w:r>
    </w:p>
    <w:p w14:paraId="33DD32C8" w14:textId="77777777" w:rsidR="00162FC4" w:rsidRDefault="007E0DAE" w:rsidP="007C17D3">
      <w:pPr>
        <w:pStyle w:val="ListParagraph"/>
        <w:numPr>
          <w:ilvl w:val="1"/>
          <w:numId w:val="40"/>
        </w:numPr>
        <w:spacing w:before="0" w:after="240" w:line="240" w:lineRule="auto"/>
        <w:jc w:val="both"/>
        <w:rPr>
          <w:rFonts w:cstheme="minorHAnsi"/>
          <w:szCs w:val="24"/>
        </w:rPr>
      </w:pPr>
      <w:r w:rsidRPr="0032101B">
        <w:rPr>
          <w:rFonts w:cstheme="minorHAnsi"/>
          <w:szCs w:val="24"/>
        </w:rPr>
        <w:t>Firm gas transportation asset and subscription rights</w:t>
      </w:r>
    </w:p>
    <w:p w14:paraId="47E14302" w14:textId="77777777" w:rsidR="00F96211" w:rsidRPr="007C17D3" w:rsidRDefault="007E0DAE" w:rsidP="007C17D3">
      <w:pPr>
        <w:pStyle w:val="ListParagraph"/>
        <w:numPr>
          <w:ilvl w:val="0"/>
          <w:numId w:val="40"/>
        </w:numPr>
        <w:spacing w:before="0" w:after="240" w:line="240" w:lineRule="auto"/>
        <w:jc w:val="both"/>
        <w:rPr>
          <w:rFonts w:cstheme="minorHAnsi"/>
          <w:szCs w:val="24"/>
        </w:rPr>
      </w:pPr>
      <w:r w:rsidRPr="007C17D3">
        <w:rPr>
          <w:rFonts w:cstheme="minorHAnsi"/>
          <w:szCs w:val="24"/>
        </w:rPr>
        <w:t xml:space="preserve">Included </w:t>
      </w:r>
      <w:r w:rsidR="00162FC4" w:rsidRPr="007C17D3">
        <w:rPr>
          <w:rFonts w:cstheme="minorHAnsi"/>
          <w:szCs w:val="24"/>
        </w:rPr>
        <w:t xml:space="preserve">Market </w:t>
      </w:r>
      <w:r w:rsidRPr="007C17D3">
        <w:rPr>
          <w:rFonts w:cstheme="minorHAnsi"/>
          <w:szCs w:val="24"/>
        </w:rPr>
        <w:t>Transactions</w:t>
      </w:r>
    </w:p>
    <w:p w14:paraId="7959E287" w14:textId="77777777" w:rsidR="00E05382" w:rsidRDefault="007E0DAE" w:rsidP="007C17D3">
      <w:pPr>
        <w:pStyle w:val="ListParagraph"/>
        <w:numPr>
          <w:ilvl w:val="1"/>
          <w:numId w:val="40"/>
        </w:numPr>
        <w:spacing w:before="0" w:after="240" w:line="240" w:lineRule="auto"/>
        <w:jc w:val="both"/>
        <w:rPr>
          <w:rFonts w:cstheme="minorHAnsi"/>
          <w:szCs w:val="24"/>
        </w:rPr>
      </w:pPr>
      <w:r w:rsidRPr="00F96211">
        <w:rPr>
          <w:rFonts w:cstheme="minorHAnsi"/>
          <w:szCs w:val="24"/>
        </w:rPr>
        <w:t>Day ahead hourly market transactions</w:t>
      </w:r>
    </w:p>
    <w:p w14:paraId="70660B0A" w14:textId="77777777" w:rsidR="00E05382" w:rsidRDefault="007E0DAE" w:rsidP="007C17D3">
      <w:pPr>
        <w:pStyle w:val="ListParagraph"/>
        <w:numPr>
          <w:ilvl w:val="1"/>
          <w:numId w:val="40"/>
        </w:numPr>
        <w:spacing w:before="0" w:after="240" w:line="240" w:lineRule="auto"/>
        <w:jc w:val="both"/>
        <w:rPr>
          <w:rFonts w:cstheme="minorHAnsi"/>
          <w:szCs w:val="24"/>
        </w:rPr>
      </w:pPr>
      <w:r w:rsidRPr="00E05382">
        <w:rPr>
          <w:rFonts w:cstheme="minorHAnsi"/>
          <w:szCs w:val="24"/>
        </w:rPr>
        <w:t>Inter-day hourly market transactions</w:t>
      </w:r>
    </w:p>
    <w:p w14:paraId="199C1313" w14:textId="77777777" w:rsidR="008872CA" w:rsidRDefault="007E0DAE" w:rsidP="007C17D3">
      <w:pPr>
        <w:pStyle w:val="ListParagraph"/>
        <w:numPr>
          <w:ilvl w:val="1"/>
          <w:numId w:val="40"/>
        </w:numPr>
        <w:spacing w:before="0" w:after="240" w:line="240" w:lineRule="auto"/>
        <w:jc w:val="both"/>
        <w:rPr>
          <w:rFonts w:cstheme="minorHAnsi"/>
          <w:szCs w:val="24"/>
        </w:rPr>
      </w:pPr>
      <w:r w:rsidRPr="00E05382">
        <w:rPr>
          <w:rFonts w:cstheme="minorHAnsi"/>
          <w:szCs w:val="24"/>
        </w:rPr>
        <w:t>Transactions with durations of multiple days, weeks, months or years that have been identified as rights of KYMEA in excess of the load serving obligations of KYMEA during the corresponding time period of the transaction being considered</w:t>
      </w:r>
    </w:p>
    <w:p w14:paraId="52BCEE10" w14:textId="77777777" w:rsidR="008872CA" w:rsidRPr="007C17D3" w:rsidRDefault="007E0DAE" w:rsidP="007C17D3">
      <w:pPr>
        <w:pStyle w:val="ListParagraph"/>
        <w:numPr>
          <w:ilvl w:val="0"/>
          <w:numId w:val="40"/>
        </w:numPr>
        <w:spacing w:after="240" w:line="240" w:lineRule="auto"/>
        <w:jc w:val="both"/>
        <w:rPr>
          <w:rFonts w:cstheme="minorHAnsi"/>
          <w:szCs w:val="24"/>
        </w:rPr>
      </w:pPr>
      <w:bookmarkStart w:id="25" w:name="_GoBack"/>
      <w:r w:rsidRPr="007C17D3">
        <w:rPr>
          <w:rFonts w:cstheme="minorHAnsi"/>
          <w:szCs w:val="24"/>
        </w:rPr>
        <w:t>Bilateral agreements</w:t>
      </w:r>
    </w:p>
    <w:p w14:paraId="0D9F87AB" w14:textId="77777777" w:rsidR="00D34CE0" w:rsidRPr="007C17D3" w:rsidRDefault="007E0DAE" w:rsidP="007C17D3">
      <w:pPr>
        <w:pStyle w:val="ListParagraph"/>
        <w:numPr>
          <w:ilvl w:val="0"/>
          <w:numId w:val="40"/>
        </w:numPr>
        <w:spacing w:after="240" w:line="240" w:lineRule="auto"/>
        <w:jc w:val="both"/>
        <w:rPr>
          <w:rFonts w:cstheme="minorHAnsi"/>
          <w:szCs w:val="24"/>
        </w:rPr>
      </w:pPr>
      <w:r w:rsidRPr="007C17D3">
        <w:rPr>
          <w:rFonts w:cstheme="minorHAnsi"/>
          <w:szCs w:val="24"/>
        </w:rPr>
        <w:t>Hedges and Options</w:t>
      </w:r>
    </w:p>
    <w:bookmarkEnd w:id="25"/>
    <w:p w14:paraId="3732449A" w14:textId="515D9164" w:rsidR="007E0DAE" w:rsidRPr="00F816E3" w:rsidRDefault="007E0DAE" w:rsidP="00F816E3">
      <w:pPr>
        <w:spacing w:after="240" w:line="240" w:lineRule="auto"/>
        <w:jc w:val="both"/>
        <w:rPr>
          <w:rFonts w:cstheme="minorHAnsi"/>
          <w:b/>
          <w:szCs w:val="24"/>
          <w:u w:val="single"/>
        </w:rPr>
      </w:pPr>
      <w:r w:rsidRPr="00F816E3">
        <w:rPr>
          <w:rFonts w:cstheme="minorHAnsi"/>
          <w:b/>
          <w:szCs w:val="24"/>
          <w:u w:val="single"/>
        </w:rPr>
        <w:t>Sales Transactions</w:t>
      </w:r>
    </w:p>
    <w:p w14:paraId="484713CF" w14:textId="77777777" w:rsidR="00F816E3" w:rsidRDefault="007E0DAE" w:rsidP="00F816E3">
      <w:pPr>
        <w:spacing w:before="0" w:after="240" w:line="240" w:lineRule="auto"/>
        <w:ind w:left="720"/>
        <w:jc w:val="both"/>
        <w:rPr>
          <w:rFonts w:cstheme="minorHAnsi"/>
          <w:szCs w:val="24"/>
        </w:rPr>
      </w:pPr>
      <w:r w:rsidRPr="001B4B51">
        <w:rPr>
          <w:rFonts w:cstheme="minorHAnsi"/>
          <w:szCs w:val="24"/>
        </w:rPr>
        <w:t>The CEO shall have the authority to execute sales trades that meet the following criteria;</w:t>
      </w:r>
    </w:p>
    <w:p w14:paraId="6369E442" w14:textId="77777777" w:rsidR="00853DD6" w:rsidRDefault="007E0DAE" w:rsidP="007C17D3">
      <w:pPr>
        <w:pStyle w:val="ListParagraph"/>
        <w:numPr>
          <w:ilvl w:val="0"/>
          <w:numId w:val="41"/>
        </w:numPr>
        <w:spacing w:before="0" w:after="240" w:line="240" w:lineRule="auto"/>
        <w:rPr>
          <w:rFonts w:cstheme="minorHAnsi"/>
          <w:szCs w:val="24"/>
        </w:rPr>
      </w:pPr>
      <w:r w:rsidRPr="00F816E3">
        <w:rPr>
          <w:rFonts w:cstheme="minorHAnsi"/>
          <w:szCs w:val="24"/>
        </w:rPr>
        <w:t>For transactions equal to or with less than a month duration:</w:t>
      </w:r>
    </w:p>
    <w:p w14:paraId="63DE94FE" w14:textId="77777777" w:rsidR="00853DD6" w:rsidRDefault="007E0DAE" w:rsidP="007C17D3">
      <w:pPr>
        <w:pStyle w:val="ListParagraph"/>
        <w:numPr>
          <w:ilvl w:val="0"/>
          <w:numId w:val="41"/>
        </w:numPr>
        <w:spacing w:before="0" w:after="240" w:line="240" w:lineRule="auto"/>
        <w:rPr>
          <w:rFonts w:cstheme="minorHAnsi"/>
          <w:szCs w:val="24"/>
        </w:rPr>
      </w:pPr>
      <w:r w:rsidRPr="00853DD6">
        <w:rPr>
          <w:rFonts w:cstheme="minorHAnsi"/>
          <w:szCs w:val="24"/>
        </w:rPr>
        <w:t>A contractual relationship exists to allow the transaction to occur</w:t>
      </w:r>
    </w:p>
    <w:p w14:paraId="112E345C" w14:textId="4D94E33E" w:rsidR="007E0DAE" w:rsidRPr="00853DD6" w:rsidRDefault="007E0DAE" w:rsidP="007C17D3">
      <w:pPr>
        <w:pStyle w:val="ListParagraph"/>
        <w:numPr>
          <w:ilvl w:val="0"/>
          <w:numId w:val="41"/>
        </w:numPr>
        <w:spacing w:before="0" w:after="240" w:line="240" w:lineRule="auto"/>
        <w:rPr>
          <w:rFonts w:cstheme="minorHAnsi"/>
          <w:szCs w:val="24"/>
        </w:rPr>
      </w:pPr>
      <w:r w:rsidRPr="00853DD6">
        <w:rPr>
          <w:rFonts w:cstheme="minorHAnsi"/>
          <w:szCs w:val="24"/>
        </w:rPr>
        <w:lastRenderedPageBreak/>
        <w:t>The characteristics and quantity sold represents excess resources as determined by the position report</w:t>
      </w:r>
    </w:p>
    <w:p w14:paraId="62E4E052" w14:textId="77777777" w:rsidR="007E0DAE" w:rsidRPr="001B4B51" w:rsidRDefault="007E0DAE" w:rsidP="0061154E">
      <w:pPr>
        <w:spacing w:before="0" w:after="240" w:line="240" w:lineRule="auto"/>
        <w:ind w:left="720"/>
        <w:jc w:val="both"/>
        <w:rPr>
          <w:rFonts w:cstheme="minorHAnsi"/>
          <w:szCs w:val="24"/>
        </w:rPr>
      </w:pPr>
      <w:r w:rsidRPr="001B4B51">
        <w:rPr>
          <w:rFonts w:cstheme="minorHAnsi"/>
          <w:szCs w:val="24"/>
        </w:rPr>
        <w:t>For transactions with greater than one month and less than a year duration:</w:t>
      </w:r>
    </w:p>
    <w:p w14:paraId="6E727ED0" w14:textId="77777777" w:rsidR="007E0DAE" w:rsidRPr="00ED057A" w:rsidRDefault="007E0DAE" w:rsidP="007C17D3">
      <w:pPr>
        <w:pStyle w:val="ListParagraph"/>
        <w:numPr>
          <w:ilvl w:val="0"/>
          <w:numId w:val="42"/>
        </w:numPr>
        <w:spacing w:before="0" w:after="240" w:line="240" w:lineRule="auto"/>
        <w:rPr>
          <w:rFonts w:cstheme="minorHAnsi"/>
          <w:szCs w:val="24"/>
        </w:rPr>
      </w:pPr>
      <w:r w:rsidRPr="00ED057A">
        <w:rPr>
          <w:rFonts w:cstheme="minorHAnsi"/>
          <w:szCs w:val="24"/>
        </w:rPr>
        <w:t>A contractual relationship exists to allow the transaction to occur</w:t>
      </w:r>
    </w:p>
    <w:p w14:paraId="4607B194" w14:textId="77777777" w:rsidR="007E0DAE" w:rsidRPr="00ED057A" w:rsidRDefault="007E0DAE" w:rsidP="007C17D3">
      <w:pPr>
        <w:pStyle w:val="ListParagraph"/>
        <w:numPr>
          <w:ilvl w:val="0"/>
          <w:numId w:val="42"/>
        </w:numPr>
        <w:spacing w:before="0" w:after="240" w:line="240" w:lineRule="auto"/>
        <w:rPr>
          <w:rFonts w:cstheme="minorHAnsi"/>
          <w:szCs w:val="24"/>
        </w:rPr>
      </w:pPr>
      <w:r w:rsidRPr="00ED057A">
        <w:rPr>
          <w:rFonts w:cstheme="minorHAnsi"/>
          <w:szCs w:val="24"/>
        </w:rPr>
        <w:t>The characteristics and quantity sold represents excess resources as determined by the position report</w:t>
      </w:r>
    </w:p>
    <w:p w14:paraId="652B129F" w14:textId="77777777" w:rsidR="007E0DAE" w:rsidRPr="00ED057A" w:rsidRDefault="007E0DAE" w:rsidP="007C17D3">
      <w:pPr>
        <w:pStyle w:val="ListParagraph"/>
        <w:numPr>
          <w:ilvl w:val="0"/>
          <w:numId w:val="42"/>
        </w:numPr>
        <w:spacing w:before="0" w:after="240" w:line="240" w:lineRule="auto"/>
        <w:rPr>
          <w:rFonts w:cstheme="minorHAnsi"/>
          <w:szCs w:val="24"/>
        </w:rPr>
      </w:pPr>
      <w:r w:rsidRPr="00ED057A">
        <w:rPr>
          <w:rFonts w:cstheme="minorHAnsi"/>
          <w:szCs w:val="24"/>
        </w:rPr>
        <w:t>The transaction is submitted to and approved by the IRC and by BROC</w:t>
      </w:r>
    </w:p>
    <w:p w14:paraId="15B818A9" w14:textId="77777777" w:rsidR="007E0DAE" w:rsidRPr="001B4B51" w:rsidRDefault="007E0DAE" w:rsidP="0061154E">
      <w:pPr>
        <w:spacing w:before="0" w:after="240" w:line="240" w:lineRule="auto"/>
        <w:ind w:left="720"/>
        <w:jc w:val="both"/>
        <w:rPr>
          <w:rFonts w:cstheme="minorHAnsi"/>
          <w:szCs w:val="24"/>
        </w:rPr>
      </w:pPr>
      <w:r w:rsidRPr="001B4B51">
        <w:rPr>
          <w:rFonts w:cstheme="minorHAnsi"/>
          <w:szCs w:val="24"/>
        </w:rPr>
        <w:t>For transactions equal to or greater than a year duration:</w:t>
      </w:r>
    </w:p>
    <w:p w14:paraId="7AF77042" w14:textId="77777777" w:rsidR="007E0DAE" w:rsidRPr="0061154E" w:rsidRDefault="007E0DAE" w:rsidP="007C17D3">
      <w:pPr>
        <w:pStyle w:val="ListParagraph"/>
        <w:numPr>
          <w:ilvl w:val="0"/>
          <w:numId w:val="43"/>
        </w:numPr>
        <w:spacing w:before="0" w:after="240" w:line="240" w:lineRule="auto"/>
        <w:rPr>
          <w:rFonts w:cstheme="minorHAnsi"/>
          <w:szCs w:val="24"/>
        </w:rPr>
      </w:pPr>
      <w:r w:rsidRPr="0061154E">
        <w:rPr>
          <w:rFonts w:cstheme="minorHAnsi"/>
          <w:szCs w:val="24"/>
        </w:rPr>
        <w:t>A contractual relationship exists to allow the transaction to occur</w:t>
      </w:r>
    </w:p>
    <w:p w14:paraId="23BD48AB" w14:textId="77777777" w:rsidR="007E0DAE" w:rsidRPr="0061154E" w:rsidRDefault="007E0DAE" w:rsidP="007C17D3">
      <w:pPr>
        <w:pStyle w:val="ListParagraph"/>
        <w:numPr>
          <w:ilvl w:val="0"/>
          <w:numId w:val="43"/>
        </w:numPr>
        <w:spacing w:before="0" w:after="240" w:line="240" w:lineRule="auto"/>
        <w:rPr>
          <w:rFonts w:cstheme="minorHAnsi"/>
          <w:szCs w:val="24"/>
        </w:rPr>
      </w:pPr>
      <w:r w:rsidRPr="0061154E">
        <w:rPr>
          <w:rFonts w:cstheme="minorHAnsi"/>
          <w:szCs w:val="24"/>
        </w:rPr>
        <w:t>Excess resources as determined by the position report</w:t>
      </w:r>
    </w:p>
    <w:p w14:paraId="1BB247F5" w14:textId="77777777" w:rsidR="007E0DAE" w:rsidRPr="0061154E" w:rsidRDefault="007E0DAE" w:rsidP="007C17D3">
      <w:pPr>
        <w:pStyle w:val="ListParagraph"/>
        <w:numPr>
          <w:ilvl w:val="0"/>
          <w:numId w:val="43"/>
        </w:numPr>
        <w:spacing w:before="0" w:after="240" w:line="240" w:lineRule="auto"/>
        <w:rPr>
          <w:rFonts w:cstheme="minorHAnsi"/>
          <w:szCs w:val="24"/>
        </w:rPr>
      </w:pPr>
      <w:r w:rsidRPr="0061154E">
        <w:rPr>
          <w:rFonts w:cstheme="minorHAnsi"/>
          <w:szCs w:val="24"/>
        </w:rPr>
        <w:t>The transaction is submitted to and approved by the IRC and BROC</w:t>
      </w:r>
    </w:p>
    <w:p w14:paraId="2893CD06" w14:textId="77777777" w:rsidR="007E0DAE" w:rsidRPr="0061154E" w:rsidRDefault="007E0DAE" w:rsidP="007C17D3">
      <w:pPr>
        <w:pStyle w:val="ListParagraph"/>
        <w:numPr>
          <w:ilvl w:val="0"/>
          <w:numId w:val="43"/>
        </w:numPr>
        <w:spacing w:before="0" w:after="240" w:line="240" w:lineRule="auto"/>
        <w:rPr>
          <w:rFonts w:cstheme="minorHAnsi"/>
          <w:szCs w:val="24"/>
        </w:rPr>
      </w:pPr>
      <w:r w:rsidRPr="0061154E">
        <w:rPr>
          <w:rFonts w:cstheme="minorHAnsi"/>
          <w:szCs w:val="24"/>
        </w:rPr>
        <w:t>The transaction is submitted to and approved by the Board</w:t>
      </w:r>
    </w:p>
    <w:p w14:paraId="7A9FA3F0" w14:textId="77777777" w:rsidR="007E0DAE" w:rsidRPr="00F816E3" w:rsidRDefault="007E0DAE" w:rsidP="0061154E">
      <w:pPr>
        <w:spacing w:before="0" w:after="0" w:line="240" w:lineRule="auto"/>
        <w:jc w:val="both"/>
        <w:rPr>
          <w:rFonts w:cstheme="minorHAnsi"/>
          <w:szCs w:val="24"/>
          <w:u w:val="single"/>
        </w:rPr>
      </w:pPr>
      <w:r w:rsidRPr="00F816E3">
        <w:rPr>
          <w:rFonts w:cstheme="minorHAnsi"/>
          <w:b/>
          <w:szCs w:val="24"/>
          <w:u w:val="single"/>
        </w:rPr>
        <w:t>Purchase Transactions</w:t>
      </w:r>
      <w:r w:rsidRPr="00F816E3">
        <w:rPr>
          <w:rFonts w:cstheme="minorHAnsi"/>
          <w:szCs w:val="24"/>
          <w:u w:val="single"/>
        </w:rPr>
        <w:t xml:space="preserve"> </w:t>
      </w:r>
    </w:p>
    <w:p w14:paraId="7DAE218F" w14:textId="77777777" w:rsidR="007E0DAE" w:rsidRPr="001B4B51" w:rsidRDefault="007E0DAE" w:rsidP="0061154E">
      <w:pPr>
        <w:spacing w:before="0" w:after="240" w:line="240" w:lineRule="auto"/>
        <w:jc w:val="both"/>
        <w:rPr>
          <w:rFonts w:cstheme="minorHAnsi"/>
          <w:szCs w:val="24"/>
        </w:rPr>
      </w:pPr>
      <w:r w:rsidRPr="001B4B51">
        <w:rPr>
          <w:rFonts w:cstheme="minorHAnsi"/>
          <w:szCs w:val="24"/>
        </w:rPr>
        <w:t>The CEO shall have the authority to execute trades to procure capacity and energy as necessary to replace existing resources that have become unavailable or shortfalls in the portfolio that meet the following criteria:</w:t>
      </w:r>
    </w:p>
    <w:p w14:paraId="6C0C3F5C" w14:textId="77777777" w:rsidR="007E0DAE" w:rsidRPr="001B4B51" w:rsidRDefault="007E0DAE" w:rsidP="0061154E">
      <w:pPr>
        <w:spacing w:before="0" w:after="240" w:line="240" w:lineRule="auto"/>
        <w:ind w:left="720"/>
        <w:jc w:val="both"/>
        <w:rPr>
          <w:rFonts w:cstheme="minorHAnsi"/>
          <w:szCs w:val="24"/>
        </w:rPr>
      </w:pPr>
      <w:r w:rsidRPr="001B4B51">
        <w:rPr>
          <w:rFonts w:cstheme="minorHAnsi"/>
          <w:szCs w:val="24"/>
        </w:rPr>
        <w:t>For transactions equal to or with less than a month duration:</w:t>
      </w:r>
    </w:p>
    <w:p w14:paraId="4E776C37" w14:textId="77777777" w:rsidR="007E0DAE" w:rsidRPr="0061154E" w:rsidRDefault="007E0DAE" w:rsidP="007C17D3">
      <w:pPr>
        <w:pStyle w:val="ListParagraph"/>
        <w:numPr>
          <w:ilvl w:val="0"/>
          <w:numId w:val="44"/>
        </w:numPr>
        <w:spacing w:before="0" w:after="240" w:line="240" w:lineRule="auto"/>
        <w:rPr>
          <w:rFonts w:cstheme="minorHAnsi"/>
          <w:szCs w:val="24"/>
        </w:rPr>
      </w:pPr>
      <w:r w:rsidRPr="0061154E">
        <w:rPr>
          <w:rFonts w:cstheme="minorHAnsi"/>
          <w:szCs w:val="24"/>
        </w:rPr>
        <w:t>A contractual relationship exists to allow the transaction to occur</w:t>
      </w:r>
    </w:p>
    <w:p w14:paraId="6D2717D0" w14:textId="77777777" w:rsidR="007E0DAE" w:rsidRPr="0061154E" w:rsidRDefault="007E0DAE" w:rsidP="007C17D3">
      <w:pPr>
        <w:pStyle w:val="ListParagraph"/>
        <w:numPr>
          <w:ilvl w:val="0"/>
          <w:numId w:val="44"/>
        </w:numPr>
        <w:spacing w:before="0" w:after="240" w:line="240" w:lineRule="auto"/>
        <w:rPr>
          <w:rFonts w:cstheme="minorHAnsi"/>
          <w:szCs w:val="24"/>
        </w:rPr>
      </w:pPr>
      <w:r w:rsidRPr="0061154E">
        <w:rPr>
          <w:rFonts w:cstheme="minorHAnsi"/>
          <w:szCs w:val="24"/>
        </w:rPr>
        <w:t>The characteristics and quantity sold represents excess resources as determined by the position report</w:t>
      </w:r>
    </w:p>
    <w:p w14:paraId="2CF4A496" w14:textId="77777777" w:rsidR="007E0DAE" w:rsidRPr="001B4B51" w:rsidRDefault="007E0DAE" w:rsidP="0061154E">
      <w:pPr>
        <w:spacing w:before="0" w:after="240" w:line="240" w:lineRule="auto"/>
        <w:ind w:left="720"/>
        <w:jc w:val="both"/>
        <w:rPr>
          <w:rFonts w:cstheme="minorHAnsi"/>
          <w:szCs w:val="24"/>
        </w:rPr>
      </w:pPr>
      <w:r w:rsidRPr="001B4B51">
        <w:rPr>
          <w:rFonts w:cstheme="minorHAnsi"/>
          <w:szCs w:val="24"/>
        </w:rPr>
        <w:t>For transactions with greater than one month and less than a year duration:</w:t>
      </w:r>
    </w:p>
    <w:p w14:paraId="7B2B0F90" w14:textId="77777777" w:rsidR="007E0DAE" w:rsidRPr="0061154E" w:rsidRDefault="007E0DAE" w:rsidP="007C17D3">
      <w:pPr>
        <w:pStyle w:val="ListParagraph"/>
        <w:numPr>
          <w:ilvl w:val="0"/>
          <w:numId w:val="45"/>
        </w:numPr>
        <w:spacing w:before="0" w:after="240" w:line="240" w:lineRule="auto"/>
        <w:rPr>
          <w:rFonts w:cstheme="minorHAnsi"/>
          <w:szCs w:val="24"/>
        </w:rPr>
      </w:pPr>
      <w:r w:rsidRPr="0061154E">
        <w:rPr>
          <w:rFonts w:cstheme="minorHAnsi"/>
          <w:szCs w:val="24"/>
        </w:rPr>
        <w:t>A contractual relationship exists to allow the transaction to occur</w:t>
      </w:r>
    </w:p>
    <w:p w14:paraId="499E1849" w14:textId="77777777" w:rsidR="007E0DAE" w:rsidRPr="0061154E" w:rsidRDefault="007E0DAE" w:rsidP="007C17D3">
      <w:pPr>
        <w:pStyle w:val="ListParagraph"/>
        <w:numPr>
          <w:ilvl w:val="0"/>
          <w:numId w:val="45"/>
        </w:numPr>
        <w:spacing w:before="0" w:after="240" w:line="240" w:lineRule="auto"/>
        <w:rPr>
          <w:rFonts w:cstheme="minorHAnsi"/>
          <w:szCs w:val="24"/>
        </w:rPr>
      </w:pPr>
      <w:r w:rsidRPr="0061154E">
        <w:rPr>
          <w:rFonts w:cstheme="minorHAnsi"/>
          <w:szCs w:val="24"/>
        </w:rPr>
        <w:t>The characteristics and quantity sold represents excess resources as determined by the position report</w:t>
      </w:r>
    </w:p>
    <w:p w14:paraId="66C1FE88" w14:textId="77777777" w:rsidR="007E0DAE" w:rsidRPr="0061154E" w:rsidRDefault="007E0DAE" w:rsidP="007C17D3">
      <w:pPr>
        <w:pStyle w:val="ListParagraph"/>
        <w:numPr>
          <w:ilvl w:val="0"/>
          <w:numId w:val="45"/>
        </w:numPr>
        <w:spacing w:before="0" w:after="240" w:line="240" w:lineRule="auto"/>
        <w:rPr>
          <w:rFonts w:cstheme="minorHAnsi"/>
          <w:szCs w:val="24"/>
        </w:rPr>
      </w:pPr>
      <w:r w:rsidRPr="0061154E">
        <w:rPr>
          <w:rFonts w:cstheme="minorHAnsi"/>
          <w:szCs w:val="24"/>
        </w:rPr>
        <w:t>The transaction is submitted to and approved by the IRC and BROC</w:t>
      </w:r>
    </w:p>
    <w:p w14:paraId="5286C898" w14:textId="77777777" w:rsidR="007E0DAE" w:rsidRPr="001B4B51" w:rsidRDefault="007E0DAE" w:rsidP="0061154E">
      <w:pPr>
        <w:spacing w:before="0" w:after="240" w:line="240" w:lineRule="auto"/>
        <w:ind w:left="720"/>
        <w:jc w:val="both"/>
        <w:rPr>
          <w:rFonts w:cstheme="minorHAnsi"/>
          <w:szCs w:val="24"/>
        </w:rPr>
      </w:pPr>
      <w:r w:rsidRPr="001B4B51">
        <w:rPr>
          <w:rFonts w:cstheme="minorHAnsi"/>
          <w:szCs w:val="24"/>
        </w:rPr>
        <w:t>For transactions equal to or greater than a year duration:</w:t>
      </w:r>
    </w:p>
    <w:p w14:paraId="484D2002" w14:textId="77777777" w:rsidR="007E0DAE" w:rsidRPr="0061154E" w:rsidRDefault="007E0DAE" w:rsidP="007C17D3">
      <w:pPr>
        <w:pStyle w:val="ListParagraph"/>
        <w:numPr>
          <w:ilvl w:val="0"/>
          <w:numId w:val="46"/>
        </w:numPr>
        <w:spacing w:before="0" w:after="240" w:line="240" w:lineRule="auto"/>
        <w:jc w:val="both"/>
        <w:rPr>
          <w:rFonts w:cstheme="minorHAnsi"/>
          <w:szCs w:val="24"/>
        </w:rPr>
      </w:pPr>
      <w:r w:rsidRPr="0061154E">
        <w:rPr>
          <w:rFonts w:cstheme="minorHAnsi"/>
          <w:szCs w:val="24"/>
        </w:rPr>
        <w:t>A contractual relationship exists to allow the transaction to occur</w:t>
      </w:r>
    </w:p>
    <w:p w14:paraId="758AF390" w14:textId="77777777" w:rsidR="007E0DAE" w:rsidRPr="0061154E" w:rsidRDefault="007E0DAE" w:rsidP="007C17D3">
      <w:pPr>
        <w:pStyle w:val="ListParagraph"/>
        <w:numPr>
          <w:ilvl w:val="0"/>
          <w:numId w:val="46"/>
        </w:numPr>
        <w:spacing w:before="0" w:after="240" w:line="240" w:lineRule="auto"/>
        <w:jc w:val="both"/>
        <w:rPr>
          <w:rFonts w:cstheme="minorHAnsi"/>
          <w:szCs w:val="24"/>
        </w:rPr>
      </w:pPr>
      <w:r w:rsidRPr="0061154E">
        <w:rPr>
          <w:rFonts w:cstheme="minorHAnsi"/>
          <w:szCs w:val="24"/>
        </w:rPr>
        <w:t>Excess resources as determined by the position report</w:t>
      </w:r>
    </w:p>
    <w:p w14:paraId="44C94D0B" w14:textId="77777777" w:rsidR="007E0DAE" w:rsidRPr="0061154E" w:rsidRDefault="007E0DAE" w:rsidP="007C17D3">
      <w:pPr>
        <w:pStyle w:val="ListParagraph"/>
        <w:numPr>
          <w:ilvl w:val="0"/>
          <w:numId w:val="46"/>
        </w:numPr>
        <w:spacing w:before="0" w:after="240" w:line="240" w:lineRule="auto"/>
        <w:jc w:val="both"/>
        <w:rPr>
          <w:rFonts w:cstheme="minorHAnsi"/>
          <w:szCs w:val="24"/>
        </w:rPr>
      </w:pPr>
      <w:r w:rsidRPr="0061154E">
        <w:rPr>
          <w:rFonts w:cstheme="minorHAnsi"/>
          <w:szCs w:val="24"/>
        </w:rPr>
        <w:t>The transaction is submitted to and approved by the IRC and BROC</w:t>
      </w:r>
    </w:p>
    <w:p w14:paraId="289C0224" w14:textId="77777777" w:rsidR="007E0DAE" w:rsidRPr="0061154E" w:rsidRDefault="007E0DAE" w:rsidP="007C17D3">
      <w:pPr>
        <w:pStyle w:val="ListParagraph"/>
        <w:numPr>
          <w:ilvl w:val="0"/>
          <w:numId w:val="46"/>
        </w:numPr>
        <w:spacing w:before="0" w:after="240" w:line="240" w:lineRule="auto"/>
        <w:jc w:val="both"/>
        <w:rPr>
          <w:rFonts w:cstheme="minorHAnsi"/>
          <w:szCs w:val="24"/>
        </w:rPr>
      </w:pPr>
      <w:r w:rsidRPr="0061154E">
        <w:rPr>
          <w:rFonts w:cstheme="minorHAnsi"/>
          <w:szCs w:val="24"/>
        </w:rPr>
        <w:t>The transaction is submitted to and approved by the Board</w:t>
      </w:r>
    </w:p>
    <w:p w14:paraId="5F232400" w14:textId="77777777" w:rsidR="007E0DAE" w:rsidRPr="00BE38EC" w:rsidRDefault="007E0DAE" w:rsidP="00503B61">
      <w:pPr>
        <w:spacing w:after="0"/>
        <w:jc w:val="both"/>
        <w:rPr>
          <w:rFonts w:cstheme="minorHAnsi"/>
          <w:b/>
          <w:szCs w:val="24"/>
          <w:u w:val="single"/>
        </w:rPr>
      </w:pPr>
      <w:r w:rsidRPr="00BE38EC">
        <w:rPr>
          <w:rFonts w:cstheme="minorHAnsi"/>
          <w:b/>
          <w:szCs w:val="24"/>
          <w:u w:val="single"/>
        </w:rPr>
        <w:t>Delegation of Responsibilities</w:t>
      </w:r>
    </w:p>
    <w:p w14:paraId="5A9A5BD9" w14:textId="77777777" w:rsidR="007E0DAE" w:rsidRPr="001B4B51" w:rsidRDefault="007E0DAE" w:rsidP="00B270B3">
      <w:pPr>
        <w:pStyle w:val="CommentSubject"/>
        <w:tabs>
          <w:tab w:val="left" w:pos="720"/>
        </w:tabs>
        <w:spacing w:before="0" w:after="240"/>
        <w:jc w:val="both"/>
        <w:rPr>
          <w:rFonts w:cstheme="minorHAnsi"/>
          <w:b w:val="0"/>
          <w:sz w:val="24"/>
          <w:szCs w:val="24"/>
        </w:rPr>
      </w:pPr>
      <w:r w:rsidRPr="001B4B51">
        <w:rPr>
          <w:rFonts w:cstheme="minorHAnsi"/>
          <w:b w:val="0"/>
          <w:sz w:val="24"/>
          <w:szCs w:val="24"/>
        </w:rPr>
        <w:t xml:space="preserve">The CEO shall have the authority to delegate authority levels to KYMEA staff and KYMEA’s Energy Service Provider.  The CEO has the authority to modify authority levels at his sole discretion so long as the delegated authority does not exceed his own authority per this policy.  </w:t>
      </w:r>
    </w:p>
    <w:p w14:paraId="37B925D5" w14:textId="77777777" w:rsidR="007E0DAE" w:rsidRPr="001B4B51" w:rsidRDefault="007E0DAE" w:rsidP="00B270B3">
      <w:pPr>
        <w:spacing w:before="0" w:after="240" w:line="240" w:lineRule="auto"/>
        <w:ind w:left="720"/>
        <w:jc w:val="both"/>
        <w:rPr>
          <w:rFonts w:cstheme="minorHAnsi"/>
          <w:szCs w:val="24"/>
        </w:rPr>
      </w:pPr>
      <w:r w:rsidRPr="001B4B51">
        <w:rPr>
          <w:rFonts w:cstheme="minorHAnsi"/>
          <w:szCs w:val="24"/>
        </w:rPr>
        <w:lastRenderedPageBreak/>
        <w:t xml:space="preserve">Individuals who are listed in the authority matrices in this policy are authorized to execute trades under the stated limits and may delegate their authority to others </w:t>
      </w:r>
      <w:proofErr w:type="gramStart"/>
      <w:r w:rsidRPr="001B4B51">
        <w:rPr>
          <w:rFonts w:cstheme="minorHAnsi"/>
          <w:szCs w:val="24"/>
        </w:rPr>
        <w:t>as long as</w:t>
      </w:r>
      <w:proofErr w:type="gramEnd"/>
      <w:r w:rsidRPr="001B4B51">
        <w:rPr>
          <w:rFonts w:cstheme="minorHAnsi"/>
          <w:szCs w:val="24"/>
        </w:rPr>
        <w:t xml:space="preserve"> the delegated authority does not exceed their own authority per this policy.</w:t>
      </w:r>
    </w:p>
    <w:p w14:paraId="27EBAB1A" w14:textId="3D0EE930" w:rsidR="007E0DAE" w:rsidRPr="001B4B51" w:rsidRDefault="009478B1" w:rsidP="009478B1">
      <w:pPr>
        <w:spacing w:before="0" w:after="0"/>
        <w:jc w:val="both"/>
        <w:rPr>
          <w:rFonts w:cstheme="minorHAnsi"/>
          <w:szCs w:val="24"/>
        </w:rPr>
      </w:pPr>
      <w:r>
        <w:rPr>
          <w:rFonts w:cstheme="minorHAnsi"/>
          <w:b/>
          <w:szCs w:val="24"/>
          <w:u w:val="single"/>
        </w:rPr>
        <w:t>Transactions Requiring Board Approval</w:t>
      </w:r>
    </w:p>
    <w:p w14:paraId="170FC928" w14:textId="77777777" w:rsidR="007E0DAE" w:rsidRPr="001B4B51" w:rsidRDefault="007E0DAE" w:rsidP="00B270B3">
      <w:pPr>
        <w:tabs>
          <w:tab w:val="left" w:pos="720"/>
        </w:tabs>
        <w:spacing w:before="0" w:after="240" w:line="240" w:lineRule="auto"/>
        <w:ind w:left="720"/>
        <w:jc w:val="both"/>
        <w:rPr>
          <w:rFonts w:cstheme="minorHAnsi"/>
          <w:szCs w:val="24"/>
        </w:rPr>
      </w:pPr>
      <w:r w:rsidRPr="001B4B51">
        <w:rPr>
          <w:rFonts w:cstheme="minorHAnsi"/>
          <w:szCs w:val="24"/>
        </w:rPr>
        <w:t>Transactions, which meet any of the following criteria, must be approved by the Board prior to execution:</w:t>
      </w:r>
    </w:p>
    <w:p w14:paraId="53A4CCA9" w14:textId="77777777" w:rsidR="007E0DAE" w:rsidRPr="001B4B51" w:rsidRDefault="007E0DAE" w:rsidP="007C17D3">
      <w:pPr>
        <w:pStyle w:val="CommentSubject"/>
        <w:numPr>
          <w:ilvl w:val="0"/>
          <w:numId w:val="38"/>
        </w:numPr>
        <w:tabs>
          <w:tab w:val="num" w:pos="1530"/>
        </w:tabs>
        <w:spacing w:before="0" w:after="240"/>
        <w:ind w:left="1530" w:hanging="450"/>
        <w:jc w:val="both"/>
        <w:rPr>
          <w:rFonts w:cstheme="minorHAnsi"/>
          <w:b w:val="0"/>
          <w:sz w:val="24"/>
          <w:szCs w:val="24"/>
        </w:rPr>
      </w:pPr>
      <w:r w:rsidRPr="001B4B51">
        <w:rPr>
          <w:rFonts w:cstheme="minorHAnsi"/>
          <w:b w:val="0"/>
          <w:sz w:val="24"/>
          <w:szCs w:val="24"/>
        </w:rPr>
        <w:t>The transaction is a new commodity not previously traded by KYMEA;</w:t>
      </w:r>
    </w:p>
    <w:p w14:paraId="744C5405" w14:textId="77777777" w:rsidR="007E0DAE" w:rsidRPr="001B4B51" w:rsidRDefault="007E0DAE" w:rsidP="007C17D3">
      <w:pPr>
        <w:pStyle w:val="CommentSubject"/>
        <w:numPr>
          <w:ilvl w:val="0"/>
          <w:numId w:val="38"/>
        </w:numPr>
        <w:tabs>
          <w:tab w:val="num" w:pos="1530"/>
        </w:tabs>
        <w:spacing w:before="0" w:after="240"/>
        <w:ind w:left="1530" w:hanging="450"/>
        <w:jc w:val="both"/>
        <w:rPr>
          <w:rFonts w:cstheme="minorHAnsi"/>
          <w:b w:val="0"/>
          <w:sz w:val="24"/>
          <w:szCs w:val="24"/>
        </w:rPr>
      </w:pPr>
      <w:r w:rsidRPr="001B4B51">
        <w:rPr>
          <w:rFonts w:cstheme="minorHAnsi"/>
          <w:b w:val="0"/>
          <w:sz w:val="24"/>
          <w:szCs w:val="24"/>
        </w:rPr>
        <w:t>The transaction is in a new market area;</w:t>
      </w:r>
    </w:p>
    <w:p w14:paraId="2F4041D9" w14:textId="77777777" w:rsidR="007E0DAE" w:rsidRPr="001B4B51" w:rsidRDefault="007E0DAE" w:rsidP="007C17D3">
      <w:pPr>
        <w:pStyle w:val="CommentSubject"/>
        <w:numPr>
          <w:ilvl w:val="0"/>
          <w:numId w:val="38"/>
        </w:numPr>
        <w:tabs>
          <w:tab w:val="num" w:pos="1530"/>
        </w:tabs>
        <w:spacing w:before="0" w:after="240"/>
        <w:ind w:left="1530" w:hanging="450"/>
        <w:jc w:val="both"/>
        <w:rPr>
          <w:rFonts w:cstheme="minorHAnsi"/>
          <w:b w:val="0"/>
          <w:sz w:val="24"/>
          <w:szCs w:val="24"/>
        </w:rPr>
      </w:pPr>
      <w:r w:rsidRPr="001B4B51">
        <w:rPr>
          <w:rFonts w:cstheme="minorHAnsi"/>
          <w:b w:val="0"/>
          <w:sz w:val="24"/>
          <w:szCs w:val="24"/>
        </w:rPr>
        <w:t xml:space="preserve">The transaction is for something other than: a physical spot or forward electricity, ancillary services, capacity, or power transmission transaction, financial transmission rights transaction, exchange traded transaction, over-the-counter financial transaction, or </w:t>
      </w:r>
      <w:proofErr w:type="gramStart"/>
      <w:r w:rsidRPr="001B4B51">
        <w:rPr>
          <w:rFonts w:cstheme="minorHAnsi"/>
          <w:b w:val="0"/>
          <w:sz w:val="24"/>
          <w:szCs w:val="24"/>
        </w:rPr>
        <w:t>over-the-counter</w:t>
      </w:r>
      <w:proofErr w:type="gramEnd"/>
      <w:r w:rsidRPr="001B4B51">
        <w:rPr>
          <w:rFonts w:cstheme="minorHAnsi"/>
          <w:b w:val="0"/>
          <w:sz w:val="24"/>
          <w:szCs w:val="24"/>
        </w:rPr>
        <w:t xml:space="preserve"> (OTC) option. </w:t>
      </w:r>
    </w:p>
    <w:p w14:paraId="40993599" w14:textId="10245D48" w:rsidR="007E0DAE" w:rsidRPr="009478B1" w:rsidRDefault="007E0DAE" w:rsidP="009478B1">
      <w:pPr>
        <w:spacing w:before="0" w:after="240" w:line="240" w:lineRule="auto"/>
        <w:ind w:left="720"/>
        <w:jc w:val="both"/>
        <w:rPr>
          <w:rFonts w:cstheme="minorHAnsi"/>
          <w:b/>
          <w:szCs w:val="24"/>
        </w:rPr>
      </w:pPr>
      <w:r w:rsidRPr="001B4B51">
        <w:rPr>
          <w:rFonts w:cstheme="minorHAnsi"/>
          <w:szCs w:val="24"/>
        </w:rPr>
        <w:t>Examples of new instruments would include the use of derivatives with different risk characteristics or the use of derivatives to implement different business strategies or goals.  New instruments or locations would also include those instruments or locations that may be traded on a “one-off” basis, which would be implementation of a derivative instrument or entry into a commodity market that, despite the anticipation of being transacted just once, would still fit the definition of a new instrument or location.</w:t>
      </w:r>
    </w:p>
    <w:p w14:paraId="27E0B416" w14:textId="4673BB69" w:rsidR="007E0DAE" w:rsidRPr="001B4B51" w:rsidRDefault="007E0DAE" w:rsidP="009478B1">
      <w:pPr>
        <w:keepNext/>
        <w:keepLines/>
        <w:tabs>
          <w:tab w:val="left" w:pos="720"/>
        </w:tabs>
        <w:spacing w:before="0" w:after="240" w:line="240" w:lineRule="auto"/>
        <w:ind w:left="720"/>
        <w:jc w:val="both"/>
        <w:rPr>
          <w:rFonts w:cstheme="minorHAnsi"/>
          <w:szCs w:val="24"/>
        </w:rPr>
      </w:pPr>
      <w:r w:rsidRPr="001B4B51">
        <w:rPr>
          <w:rFonts w:cstheme="minorHAnsi"/>
          <w:szCs w:val="24"/>
        </w:rPr>
        <w:t>The purpose of defining a process for such transactions as noted above is to ensure that the exposures associated with them are thoroughly reviewed and understood by the KYMEA Board and appropriate trading controls are in place.  The KYMEA Board must approve the use of such transactions prior to execution using the process defined in the Risk Management Policy.  The procedure for approval will be as follows:</w:t>
      </w:r>
    </w:p>
    <w:p w14:paraId="72697E11" w14:textId="77777777" w:rsidR="007E0DAE" w:rsidRPr="001B4B51" w:rsidRDefault="007E0DAE" w:rsidP="007C17D3">
      <w:pPr>
        <w:pStyle w:val="CommentSubject"/>
        <w:numPr>
          <w:ilvl w:val="0"/>
          <w:numId w:val="38"/>
        </w:numPr>
        <w:tabs>
          <w:tab w:val="num" w:pos="1080"/>
          <w:tab w:val="num" w:pos="2160"/>
        </w:tabs>
        <w:spacing w:before="0" w:after="240"/>
        <w:ind w:left="1080"/>
        <w:jc w:val="both"/>
        <w:rPr>
          <w:rFonts w:cstheme="minorHAnsi"/>
          <w:b w:val="0"/>
          <w:sz w:val="24"/>
          <w:szCs w:val="24"/>
        </w:rPr>
      </w:pPr>
      <w:r w:rsidRPr="001B4B51">
        <w:rPr>
          <w:rFonts w:cstheme="minorHAnsi"/>
          <w:b w:val="0"/>
          <w:sz w:val="24"/>
          <w:szCs w:val="24"/>
        </w:rPr>
        <w:t>Transaction Proposal - The proposal is the responsibility of the person or business group proposing the transaction.  The proposal should address the business need, risks, trading controls, valuation methodology, accounting methodology, operations workflow/methodology, and assessment of legal and regulatory issues.</w:t>
      </w:r>
    </w:p>
    <w:p w14:paraId="5416365B" w14:textId="77777777" w:rsidR="007E0DAE" w:rsidRPr="001B4B51" w:rsidRDefault="007E0DAE" w:rsidP="007C17D3">
      <w:pPr>
        <w:pStyle w:val="CommentSubject"/>
        <w:numPr>
          <w:ilvl w:val="0"/>
          <w:numId w:val="38"/>
        </w:numPr>
        <w:tabs>
          <w:tab w:val="num" w:pos="1080"/>
          <w:tab w:val="num" w:pos="2160"/>
        </w:tabs>
        <w:spacing w:before="0" w:after="240"/>
        <w:ind w:left="1080"/>
        <w:jc w:val="both"/>
        <w:rPr>
          <w:rFonts w:cstheme="minorHAnsi"/>
          <w:b w:val="0"/>
          <w:sz w:val="24"/>
          <w:szCs w:val="24"/>
        </w:rPr>
      </w:pPr>
      <w:r w:rsidRPr="001B4B51">
        <w:rPr>
          <w:rFonts w:cstheme="minorHAnsi"/>
          <w:b w:val="0"/>
          <w:sz w:val="24"/>
          <w:szCs w:val="24"/>
        </w:rPr>
        <w:t xml:space="preserve">Internal Risk Committee Review - The IRC will perform a review of the benefits and risks of the proposed transaction and submit their recommendation to the KYMEA Board.  </w:t>
      </w:r>
    </w:p>
    <w:p w14:paraId="7330155A" w14:textId="77777777" w:rsidR="007E0DAE" w:rsidRPr="001B4B51" w:rsidRDefault="007E0DAE" w:rsidP="007C17D3">
      <w:pPr>
        <w:pStyle w:val="CommentSubject"/>
        <w:numPr>
          <w:ilvl w:val="0"/>
          <w:numId w:val="38"/>
        </w:numPr>
        <w:tabs>
          <w:tab w:val="num" w:pos="1080"/>
          <w:tab w:val="num" w:pos="2160"/>
        </w:tabs>
        <w:spacing w:before="0" w:after="240"/>
        <w:ind w:left="1080"/>
        <w:jc w:val="both"/>
        <w:rPr>
          <w:rFonts w:cstheme="minorHAnsi"/>
          <w:b w:val="0"/>
          <w:sz w:val="24"/>
          <w:szCs w:val="24"/>
        </w:rPr>
      </w:pPr>
      <w:r w:rsidRPr="001B4B51">
        <w:rPr>
          <w:rFonts w:cstheme="minorHAnsi"/>
          <w:b w:val="0"/>
          <w:sz w:val="24"/>
          <w:szCs w:val="24"/>
        </w:rPr>
        <w:t xml:space="preserve">The KYMEA Board will assess the proposed transaction and </w:t>
      </w:r>
      <w:proofErr w:type="gramStart"/>
      <w:r w:rsidRPr="001B4B51">
        <w:rPr>
          <w:rFonts w:cstheme="minorHAnsi"/>
          <w:b w:val="0"/>
          <w:sz w:val="24"/>
          <w:szCs w:val="24"/>
        </w:rPr>
        <w:t>make a determination</w:t>
      </w:r>
      <w:proofErr w:type="gramEnd"/>
      <w:r w:rsidRPr="001B4B51">
        <w:rPr>
          <w:rFonts w:cstheme="minorHAnsi"/>
          <w:b w:val="0"/>
          <w:sz w:val="24"/>
          <w:szCs w:val="24"/>
        </w:rPr>
        <w:t xml:space="preserve"> whether to add the proposed transaction to the approved list.</w:t>
      </w:r>
    </w:p>
    <w:p w14:paraId="377F8A9A" w14:textId="7785001A" w:rsidR="009478B1" w:rsidRPr="001B4B51" w:rsidRDefault="009478B1" w:rsidP="009478B1">
      <w:pPr>
        <w:spacing w:before="0" w:after="0"/>
        <w:jc w:val="both"/>
        <w:rPr>
          <w:rFonts w:cstheme="minorHAnsi"/>
          <w:szCs w:val="24"/>
        </w:rPr>
      </w:pPr>
      <w:r>
        <w:rPr>
          <w:rFonts w:cstheme="minorHAnsi"/>
          <w:b/>
          <w:szCs w:val="24"/>
          <w:u w:val="single"/>
        </w:rPr>
        <w:t>S</w:t>
      </w:r>
      <w:r w:rsidR="00334168">
        <w:rPr>
          <w:rFonts w:cstheme="minorHAnsi"/>
          <w:b/>
          <w:szCs w:val="24"/>
          <w:u w:val="single"/>
        </w:rPr>
        <w:t>leeving</w:t>
      </w:r>
    </w:p>
    <w:p w14:paraId="7AAE8D50" w14:textId="77777777" w:rsidR="007E0DAE" w:rsidRPr="001B4B51" w:rsidRDefault="007E0DAE" w:rsidP="00B270B3">
      <w:pPr>
        <w:pStyle w:val="Revision"/>
        <w:spacing w:after="240"/>
        <w:jc w:val="both"/>
        <w:rPr>
          <w:rFonts w:cstheme="minorHAnsi"/>
          <w:szCs w:val="24"/>
        </w:rPr>
      </w:pPr>
      <w:r w:rsidRPr="001B4B51">
        <w:rPr>
          <w:rFonts w:cstheme="minorHAnsi"/>
          <w:szCs w:val="24"/>
        </w:rPr>
        <w:t xml:space="preserve">Credit sleeving is an arrangement where a more financially reputable entity acts as a middleman for a smaller undercapitalized entity in the execution of a transaction.  Contract sleeving is an </w:t>
      </w:r>
      <w:r w:rsidRPr="001B4B51">
        <w:rPr>
          <w:rFonts w:cstheme="minorHAnsi"/>
          <w:szCs w:val="24"/>
        </w:rPr>
        <w:lastRenderedPageBreak/>
        <w:t xml:space="preserve">arrangement where an entity acts as a middleman between two entities to bridge a contract gap that exists between the two entities.  </w:t>
      </w:r>
    </w:p>
    <w:p w14:paraId="0B6BD136" w14:textId="77777777" w:rsidR="007E0DAE" w:rsidRPr="001B4B51" w:rsidRDefault="007E0DAE" w:rsidP="00B270B3">
      <w:pPr>
        <w:pStyle w:val="Revision"/>
        <w:spacing w:after="240"/>
        <w:jc w:val="both"/>
        <w:rPr>
          <w:rFonts w:cstheme="minorHAnsi"/>
          <w:szCs w:val="24"/>
        </w:rPr>
      </w:pPr>
      <w:r w:rsidRPr="001B4B51">
        <w:rPr>
          <w:rFonts w:cstheme="minorHAnsi"/>
          <w:szCs w:val="24"/>
        </w:rPr>
        <w:t>No sleeving transactions for credit or contract purposes shall be executed</w:t>
      </w:r>
    </w:p>
    <w:p w14:paraId="40D21205" w14:textId="3652B0AC" w:rsidR="007E0DAE" w:rsidRPr="001B4B51" w:rsidRDefault="007E0DAE" w:rsidP="00334168">
      <w:pPr>
        <w:spacing w:before="0" w:after="0" w:line="240" w:lineRule="auto"/>
        <w:jc w:val="both"/>
        <w:rPr>
          <w:rFonts w:cstheme="minorHAnsi"/>
          <w:szCs w:val="24"/>
        </w:rPr>
      </w:pPr>
      <w:r w:rsidRPr="001B4B51">
        <w:rPr>
          <w:rFonts w:cstheme="minorHAnsi"/>
          <w:b/>
          <w:szCs w:val="24"/>
        </w:rPr>
        <w:t>Contractual Requirements</w:t>
      </w:r>
    </w:p>
    <w:p w14:paraId="560A19C4" w14:textId="77777777" w:rsidR="007E0DAE" w:rsidRPr="001B4B51" w:rsidRDefault="007E0DAE" w:rsidP="00B270B3">
      <w:pPr>
        <w:pStyle w:val="CommentSubject"/>
        <w:tabs>
          <w:tab w:val="left" w:pos="720"/>
        </w:tabs>
        <w:spacing w:before="0" w:after="240"/>
        <w:jc w:val="both"/>
        <w:rPr>
          <w:rFonts w:cstheme="minorHAnsi"/>
          <w:b w:val="0"/>
          <w:sz w:val="24"/>
          <w:szCs w:val="24"/>
        </w:rPr>
      </w:pPr>
      <w:r w:rsidRPr="001B4B51">
        <w:rPr>
          <w:rFonts w:cstheme="minorHAnsi"/>
          <w:b w:val="0"/>
          <w:sz w:val="24"/>
          <w:szCs w:val="24"/>
        </w:rPr>
        <w:t>Transactions with counterparties shall only be permitted if KYMEA has:</w:t>
      </w:r>
    </w:p>
    <w:p w14:paraId="0059D31F" w14:textId="4F382A53" w:rsidR="007E0DAE" w:rsidRPr="009478B1" w:rsidRDefault="007E0DAE" w:rsidP="007C17D3">
      <w:pPr>
        <w:pStyle w:val="CommentSubject"/>
        <w:numPr>
          <w:ilvl w:val="0"/>
          <w:numId w:val="47"/>
        </w:numPr>
        <w:tabs>
          <w:tab w:val="num" w:pos="1080"/>
        </w:tabs>
        <w:spacing w:before="0" w:after="240"/>
        <w:jc w:val="both"/>
        <w:rPr>
          <w:rFonts w:cstheme="minorHAnsi"/>
          <w:b w:val="0"/>
          <w:sz w:val="24"/>
          <w:szCs w:val="24"/>
        </w:rPr>
      </w:pPr>
      <w:r w:rsidRPr="001B4B51">
        <w:rPr>
          <w:rFonts w:cstheme="minorHAnsi"/>
          <w:b w:val="0"/>
          <w:sz w:val="24"/>
          <w:szCs w:val="24"/>
        </w:rPr>
        <w:t xml:space="preserve">An active executed agreement enabling such trading activity with that counterparty. </w:t>
      </w:r>
    </w:p>
    <w:p w14:paraId="0663D7E4" w14:textId="666BD81C" w:rsidR="007E0DAE" w:rsidRPr="001B4B51" w:rsidRDefault="007E0DAE" w:rsidP="007C17D3">
      <w:pPr>
        <w:pStyle w:val="CommentSubject"/>
        <w:numPr>
          <w:ilvl w:val="0"/>
          <w:numId w:val="47"/>
        </w:numPr>
        <w:spacing w:before="0" w:after="240"/>
        <w:jc w:val="both"/>
        <w:rPr>
          <w:rFonts w:cstheme="minorHAnsi"/>
          <w:b w:val="0"/>
          <w:sz w:val="24"/>
          <w:szCs w:val="24"/>
        </w:rPr>
      </w:pPr>
      <w:r w:rsidRPr="001B4B51">
        <w:rPr>
          <w:rFonts w:cstheme="minorHAnsi"/>
          <w:b w:val="0"/>
          <w:sz w:val="24"/>
          <w:szCs w:val="24"/>
        </w:rPr>
        <w:t xml:space="preserve">Long-form confirmations may be used as a valid agreement in lieu of a permanent agreement, when necessary if approved by the Vice President of Finance and Accounting/Chief Financial Officer (“CFO”).  </w:t>
      </w:r>
    </w:p>
    <w:p w14:paraId="13D7F78B" w14:textId="5AA7233E" w:rsidR="007E0DAE" w:rsidRPr="009478B1" w:rsidRDefault="007E0DAE" w:rsidP="007C17D3">
      <w:pPr>
        <w:pStyle w:val="CommentSubject"/>
        <w:numPr>
          <w:ilvl w:val="0"/>
          <w:numId w:val="47"/>
        </w:numPr>
        <w:spacing w:before="0" w:after="240"/>
        <w:jc w:val="both"/>
        <w:rPr>
          <w:rFonts w:cstheme="minorHAnsi"/>
          <w:b w:val="0"/>
          <w:sz w:val="24"/>
          <w:szCs w:val="24"/>
        </w:rPr>
      </w:pPr>
      <w:r w:rsidRPr="001B4B51">
        <w:rPr>
          <w:rFonts w:cstheme="minorHAnsi"/>
          <w:b w:val="0"/>
          <w:sz w:val="24"/>
          <w:szCs w:val="24"/>
        </w:rPr>
        <w:t xml:space="preserve">A long-form confirmation is a confirmation that is used to confirm a transaction when no underlying enabling agreement exists between the parties.  In addition to confirming the transaction details, the long-form confirmation may incorporate by reference the terms and conditions of the underlying enabling agreement to be executed.  For example, a long-form confirmation for a physical power transaction may incorporate by reference the terms and conditions of the EEI agreement. </w:t>
      </w:r>
    </w:p>
    <w:p w14:paraId="3F89D9CD" w14:textId="41A0B9F1" w:rsidR="007E0DAE" w:rsidRPr="009478B1" w:rsidRDefault="007E0DAE" w:rsidP="009478B1">
      <w:pPr>
        <w:spacing w:before="0" w:after="0" w:line="240" w:lineRule="auto"/>
        <w:jc w:val="both"/>
        <w:rPr>
          <w:rFonts w:cstheme="minorHAnsi"/>
          <w:b/>
          <w:szCs w:val="24"/>
          <w:u w:val="single"/>
        </w:rPr>
      </w:pPr>
      <w:r w:rsidRPr="009478B1">
        <w:rPr>
          <w:rFonts w:cstheme="minorHAnsi"/>
          <w:b/>
          <w:szCs w:val="24"/>
          <w:u w:val="single"/>
        </w:rPr>
        <w:t>Credit Requirements</w:t>
      </w:r>
    </w:p>
    <w:p w14:paraId="26756969" w14:textId="77777777" w:rsidR="007E0DAE" w:rsidRPr="001B4B51" w:rsidRDefault="007E0DAE" w:rsidP="00B270B3">
      <w:pPr>
        <w:spacing w:before="0" w:after="240" w:line="240" w:lineRule="auto"/>
        <w:jc w:val="both"/>
        <w:rPr>
          <w:rFonts w:cstheme="minorHAnsi"/>
          <w:szCs w:val="24"/>
        </w:rPr>
      </w:pPr>
      <w:r w:rsidRPr="001B4B51">
        <w:rPr>
          <w:rFonts w:cstheme="minorHAnsi"/>
          <w:szCs w:val="24"/>
        </w:rPr>
        <w:t xml:space="preserve">Credit limits for each counterparty shall not be intentionally exceeded.  </w:t>
      </w:r>
      <w:r w:rsidRPr="001B4B51">
        <w:rPr>
          <w:rFonts w:cstheme="minorHAnsi"/>
          <w:i/>
          <w:szCs w:val="24"/>
        </w:rPr>
        <w:t>(Note: Since credit exposures are a function of not only positions traded, but also a function of market pricing and volatility, credit exposure to a counterparty may unintentionally exceed a credit limit purely due to changes in the forward market).</w:t>
      </w:r>
      <w:r w:rsidRPr="001B4B51">
        <w:rPr>
          <w:rFonts w:cstheme="minorHAnsi"/>
          <w:szCs w:val="24"/>
        </w:rPr>
        <w:t xml:space="preserve"> </w:t>
      </w:r>
    </w:p>
    <w:p w14:paraId="69AC4F9F" w14:textId="77777777" w:rsidR="007E0DAE" w:rsidRPr="001B4B51" w:rsidRDefault="007E0DAE" w:rsidP="00B270B3">
      <w:pPr>
        <w:spacing w:before="0" w:after="240" w:line="240" w:lineRule="auto"/>
        <w:jc w:val="both"/>
        <w:rPr>
          <w:rFonts w:cstheme="minorHAnsi"/>
          <w:szCs w:val="24"/>
        </w:rPr>
      </w:pPr>
      <w:r w:rsidRPr="001B4B51">
        <w:rPr>
          <w:rFonts w:cstheme="minorHAnsi"/>
          <w:szCs w:val="24"/>
        </w:rPr>
        <w:t>Entering into unsecured transactions with a counterparty that has total credit exposure greater than or equal to its open line of credit and the total of any security currently provided, will not be allowed unless approved in writing by the CFO.</w:t>
      </w:r>
    </w:p>
    <w:p w14:paraId="44E18B26" w14:textId="7D10EB43" w:rsidR="00334168" w:rsidRPr="001B4B51" w:rsidRDefault="00334168" w:rsidP="00334168">
      <w:pPr>
        <w:spacing w:before="0" w:after="0"/>
        <w:jc w:val="both"/>
        <w:rPr>
          <w:rFonts w:cstheme="minorHAnsi"/>
          <w:szCs w:val="24"/>
        </w:rPr>
      </w:pPr>
      <w:r>
        <w:rPr>
          <w:rFonts w:cstheme="minorHAnsi"/>
          <w:b/>
          <w:szCs w:val="24"/>
          <w:u w:val="single"/>
        </w:rPr>
        <w:t>Delivery Locations</w:t>
      </w:r>
    </w:p>
    <w:p w14:paraId="62C62FD6" w14:textId="24D5A68D" w:rsidR="007E0DAE" w:rsidRPr="001B4B51" w:rsidRDefault="007E0DAE" w:rsidP="00B270B3">
      <w:pPr>
        <w:spacing w:before="0" w:after="240" w:line="240" w:lineRule="auto"/>
        <w:ind w:left="360"/>
        <w:jc w:val="both"/>
        <w:rPr>
          <w:rFonts w:cstheme="minorHAnsi"/>
          <w:szCs w:val="24"/>
        </w:rPr>
      </w:pPr>
      <w:r w:rsidRPr="001B4B51">
        <w:rPr>
          <w:rFonts w:cstheme="minorHAnsi"/>
          <w:szCs w:val="24"/>
        </w:rPr>
        <w:t>Trading at delivery locations that are normal to the daily course of business for KYMEA, to the extent transmission is available, is authorized as follows:</w:t>
      </w:r>
    </w:p>
    <w:p w14:paraId="68261788" w14:textId="77777777" w:rsidR="007E0DAE" w:rsidRPr="00A77414" w:rsidRDefault="007E0DAE" w:rsidP="007C17D3">
      <w:pPr>
        <w:pStyle w:val="ListParagraph"/>
        <w:numPr>
          <w:ilvl w:val="0"/>
          <w:numId w:val="48"/>
        </w:numPr>
        <w:spacing w:before="0" w:after="240" w:line="240" w:lineRule="auto"/>
        <w:jc w:val="both"/>
        <w:rPr>
          <w:rFonts w:cstheme="minorHAnsi"/>
          <w:szCs w:val="24"/>
        </w:rPr>
      </w:pPr>
      <w:r w:rsidRPr="00A77414">
        <w:rPr>
          <w:rFonts w:cstheme="minorHAnsi"/>
          <w:szCs w:val="24"/>
        </w:rPr>
        <w:t xml:space="preserve">Unrestricted Delivery Locations </w:t>
      </w:r>
    </w:p>
    <w:p w14:paraId="74602E73" w14:textId="77777777" w:rsidR="007E0DAE" w:rsidRPr="001B4B51" w:rsidRDefault="007E0DAE" w:rsidP="007C17D3">
      <w:pPr>
        <w:numPr>
          <w:ilvl w:val="0"/>
          <w:numId w:val="37"/>
        </w:numPr>
        <w:tabs>
          <w:tab w:val="clear" w:pos="360"/>
          <w:tab w:val="num" w:pos="1800"/>
        </w:tabs>
        <w:spacing w:before="0" w:after="240" w:line="240" w:lineRule="auto"/>
        <w:ind w:left="1440"/>
        <w:jc w:val="both"/>
        <w:rPr>
          <w:rFonts w:cstheme="minorHAnsi"/>
          <w:szCs w:val="24"/>
        </w:rPr>
      </w:pPr>
      <w:r w:rsidRPr="001B4B51">
        <w:rPr>
          <w:rFonts w:cstheme="minorHAnsi"/>
          <w:szCs w:val="24"/>
        </w:rPr>
        <w:t>LGE/KU System</w:t>
      </w:r>
    </w:p>
    <w:p w14:paraId="28E2F009" w14:textId="77777777" w:rsidR="007E0DAE" w:rsidRPr="001B4B51" w:rsidRDefault="007E0DAE" w:rsidP="007C17D3">
      <w:pPr>
        <w:numPr>
          <w:ilvl w:val="0"/>
          <w:numId w:val="37"/>
        </w:numPr>
        <w:tabs>
          <w:tab w:val="clear" w:pos="360"/>
          <w:tab w:val="num" w:pos="1800"/>
        </w:tabs>
        <w:spacing w:before="0" w:after="240" w:line="240" w:lineRule="auto"/>
        <w:ind w:left="1440"/>
        <w:jc w:val="both"/>
        <w:rPr>
          <w:rFonts w:cstheme="minorHAnsi"/>
          <w:szCs w:val="24"/>
        </w:rPr>
      </w:pPr>
      <w:r w:rsidRPr="001B4B51">
        <w:rPr>
          <w:rFonts w:cstheme="minorHAnsi"/>
          <w:szCs w:val="24"/>
        </w:rPr>
        <w:t>PJM</w:t>
      </w:r>
    </w:p>
    <w:p w14:paraId="251F3F4B" w14:textId="77777777" w:rsidR="007E0DAE" w:rsidRPr="001B4B51" w:rsidRDefault="007E0DAE" w:rsidP="007C17D3">
      <w:pPr>
        <w:numPr>
          <w:ilvl w:val="0"/>
          <w:numId w:val="37"/>
        </w:numPr>
        <w:tabs>
          <w:tab w:val="clear" w:pos="360"/>
          <w:tab w:val="num" w:pos="1800"/>
        </w:tabs>
        <w:spacing w:before="0" w:after="240" w:line="240" w:lineRule="auto"/>
        <w:ind w:left="1440"/>
        <w:jc w:val="both"/>
        <w:rPr>
          <w:rFonts w:cstheme="minorHAnsi"/>
          <w:szCs w:val="24"/>
        </w:rPr>
      </w:pPr>
      <w:r w:rsidRPr="001B4B51">
        <w:rPr>
          <w:rFonts w:cstheme="minorHAnsi"/>
          <w:szCs w:val="24"/>
        </w:rPr>
        <w:t>MISO</w:t>
      </w:r>
    </w:p>
    <w:p w14:paraId="3ACBF8AA" w14:textId="77777777" w:rsidR="007E0DAE" w:rsidRPr="001B4B51" w:rsidRDefault="007E0DAE" w:rsidP="007C17D3">
      <w:pPr>
        <w:numPr>
          <w:ilvl w:val="0"/>
          <w:numId w:val="36"/>
        </w:numPr>
        <w:tabs>
          <w:tab w:val="num" w:pos="2520"/>
        </w:tabs>
        <w:spacing w:before="0" w:after="240" w:line="240" w:lineRule="auto"/>
        <w:ind w:left="1440"/>
        <w:jc w:val="both"/>
        <w:rPr>
          <w:rFonts w:cstheme="minorHAnsi"/>
          <w:szCs w:val="24"/>
        </w:rPr>
      </w:pPr>
      <w:r w:rsidRPr="001B4B51">
        <w:rPr>
          <w:rFonts w:cstheme="minorHAnsi"/>
          <w:szCs w:val="24"/>
        </w:rPr>
        <w:t>SERC Region</w:t>
      </w:r>
    </w:p>
    <w:p w14:paraId="41025A2D" w14:textId="35BEEF19" w:rsidR="007E0DAE" w:rsidRDefault="007E0DAE" w:rsidP="00B270B3">
      <w:pPr>
        <w:tabs>
          <w:tab w:val="left" w:pos="360"/>
        </w:tabs>
        <w:spacing w:before="0" w:after="240" w:line="240" w:lineRule="auto"/>
        <w:ind w:left="360"/>
        <w:jc w:val="both"/>
        <w:rPr>
          <w:rFonts w:cstheme="minorHAnsi"/>
          <w:szCs w:val="24"/>
        </w:rPr>
      </w:pPr>
      <w:r w:rsidRPr="001B4B51">
        <w:rPr>
          <w:rFonts w:cstheme="minorHAnsi"/>
          <w:szCs w:val="24"/>
        </w:rPr>
        <w:lastRenderedPageBreak/>
        <w:tab/>
        <w:t>Trading at any other delivery locations shall be restricted as follows:</w:t>
      </w:r>
    </w:p>
    <w:p w14:paraId="5E02127D" w14:textId="33581601" w:rsidR="00433931" w:rsidRPr="00A77414" w:rsidRDefault="00433931" w:rsidP="007C17D3">
      <w:pPr>
        <w:pStyle w:val="ListParagraph"/>
        <w:numPr>
          <w:ilvl w:val="0"/>
          <w:numId w:val="48"/>
        </w:numPr>
        <w:spacing w:before="0" w:after="240" w:line="240" w:lineRule="auto"/>
        <w:jc w:val="both"/>
        <w:rPr>
          <w:rFonts w:cstheme="minorHAnsi"/>
          <w:szCs w:val="24"/>
        </w:rPr>
      </w:pPr>
      <w:r>
        <w:rPr>
          <w:rFonts w:cstheme="minorHAnsi"/>
          <w:szCs w:val="24"/>
        </w:rPr>
        <w:t>Restricted Delivery Locations</w:t>
      </w:r>
    </w:p>
    <w:p w14:paraId="661A7B59" w14:textId="1D108803" w:rsidR="007E0DAE" w:rsidRPr="00433931" w:rsidRDefault="007E0DAE" w:rsidP="007C17D3">
      <w:pPr>
        <w:numPr>
          <w:ilvl w:val="0"/>
          <w:numId w:val="37"/>
        </w:numPr>
        <w:tabs>
          <w:tab w:val="clear" w:pos="360"/>
          <w:tab w:val="num" w:pos="1800"/>
        </w:tabs>
        <w:spacing w:before="0" w:after="240" w:line="240" w:lineRule="auto"/>
        <w:ind w:left="1440"/>
        <w:jc w:val="both"/>
        <w:rPr>
          <w:rFonts w:cstheme="minorHAnsi"/>
          <w:szCs w:val="24"/>
        </w:rPr>
      </w:pPr>
      <w:r w:rsidRPr="00433931">
        <w:rPr>
          <w:rFonts w:cstheme="minorHAnsi"/>
          <w:szCs w:val="24"/>
        </w:rPr>
        <w:t>All other interconnection locations: only with approval by the Vice President of Market Analytics or President and CEO.</w:t>
      </w:r>
    </w:p>
    <w:p w14:paraId="20FAF5E0" w14:textId="77777777" w:rsidR="007E0DAE" w:rsidRPr="001B4B51" w:rsidRDefault="007E0DAE" w:rsidP="00B270B3">
      <w:pPr>
        <w:spacing w:before="0" w:after="240" w:line="240" w:lineRule="auto"/>
        <w:jc w:val="both"/>
        <w:rPr>
          <w:rFonts w:cstheme="minorHAnsi"/>
          <w:szCs w:val="24"/>
        </w:rPr>
      </w:pPr>
    </w:p>
    <w:p w14:paraId="0957B49D" w14:textId="77777777" w:rsidR="00FD32B8" w:rsidRPr="001B4B51" w:rsidRDefault="00FD32B8" w:rsidP="00B270B3">
      <w:pPr>
        <w:spacing w:before="0" w:after="240" w:line="240" w:lineRule="auto"/>
        <w:rPr>
          <w:rFonts w:cstheme="minorHAnsi"/>
          <w:szCs w:val="24"/>
        </w:rPr>
      </w:pPr>
    </w:p>
    <w:p w14:paraId="05ABA449" w14:textId="77777777" w:rsidR="0023388C" w:rsidRPr="00D84CB2" w:rsidRDefault="0023388C" w:rsidP="0023388C">
      <w:pPr>
        <w:jc w:val="both"/>
        <w:rPr>
          <w:szCs w:val="24"/>
        </w:rPr>
      </w:pPr>
      <w:r>
        <w:rPr>
          <w:noProof/>
          <w:szCs w:val="24"/>
        </w:rPr>
        <w:lastRenderedPageBreak/>
        <w:drawing>
          <wp:anchor distT="0" distB="0" distL="114300" distR="114300" simplePos="0" relativeHeight="251663360" behindDoc="0" locked="0" layoutInCell="1" allowOverlap="1" wp14:anchorId="21B537C5" wp14:editId="3813EF79">
            <wp:simplePos x="0" y="0"/>
            <wp:positionH relativeFrom="column">
              <wp:posOffset>-923925</wp:posOffset>
            </wp:positionH>
            <wp:positionV relativeFrom="page">
              <wp:posOffset>-3175</wp:posOffset>
            </wp:positionV>
            <wp:extent cx="7810500" cy="10107295"/>
            <wp:effectExtent l="0" t="0" r="0" b="8255"/>
            <wp:wrapThrough wrapText="bothSides">
              <wp:wrapPolygon edited="0">
                <wp:start x="0" y="0"/>
                <wp:lineTo x="0" y="21577"/>
                <wp:lineTo x="21547" y="21577"/>
                <wp:lineTo x="215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YMEA_Handbook_back_cover_b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0" cy="10107295"/>
                    </a:xfrm>
                    <a:prstGeom prst="rect">
                      <a:avLst/>
                    </a:prstGeom>
                  </pic:spPr>
                </pic:pic>
              </a:graphicData>
            </a:graphic>
            <wp14:sizeRelH relativeFrom="margin">
              <wp14:pctWidth>0</wp14:pctWidth>
            </wp14:sizeRelH>
            <wp14:sizeRelV relativeFrom="margin">
              <wp14:pctHeight>0</wp14:pctHeight>
            </wp14:sizeRelV>
          </wp:anchor>
        </w:drawing>
      </w:r>
    </w:p>
    <w:sectPr w:rsidR="0023388C" w:rsidRPr="00D84CB2" w:rsidSect="00B312E9">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9A4B" w14:textId="77777777" w:rsidR="001431D0" w:rsidRDefault="001431D0">
      <w:pPr>
        <w:spacing w:before="0" w:after="0" w:line="240" w:lineRule="auto"/>
      </w:pPr>
      <w:r>
        <w:separator/>
      </w:r>
    </w:p>
  </w:endnote>
  <w:endnote w:type="continuationSeparator" w:id="0">
    <w:p w14:paraId="23AC2277" w14:textId="77777777" w:rsidR="001431D0" w:rsidRDefault="001431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6237" w14:textId="7DDD7BB9" w:rsidR="005641FD" w:rsidRDefault="005641FD" w:rsidP="005641FD">
    <w:pPr>
      <w:pStyle w:val="Footer"/>
    </w:pPr>
    <w:r>
      <w:rPr>
        <w:rFonts w:eastAsia="Times New Roman"/>
        <w:noProof/>
      </w:rPr>
      <w:drawing>
        <wp:anchor distT="0" distB="0" distL="114300" distR="114300" simplePos="0" relativeHeight="251657728" behindDoc="0" locked="0" layoutInCell="1" allowOverlap="1" wp14:anchorId="3EE8AB60" wp14:editId="7F036214">
          <wp:simplePos x="0" y="0"/>
          <wp:positionH relativeFrom="column">
            <wp:posOffset>0</wp:posOffset>
          </wp:positionH>
          <wp:positionV relativeFrom="paragraph">
            <wp:posOffset>-30480</wp:posOffset>
          </wp:positionV>
          <wp:extent cx="678180" cy="279400"/>
          <wp:effectExtent l="0" t="0" r="7620" b="6350"/>
          <wp:wrapSquare wrapText="bothSides"/>
          <wp:docPr id="2" name="Picture 2" descr="cid:0400434D-A477-4223-BA8F-AA40434F2FD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72411D-2ADF-49DA-89B7-BE07962B0877" descr="cid:0400434D-A477-4223-BA8F-AA40434F2FDC@Hom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0096"/>
                  <a:stretch/>
                </pic:blipFill>
                <pic:spPr bwMode="auto">
                  <a:xfrm>
                    <a:off x="0" y="0"/>
                    <a:ext cx="678180" cy="279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noProof/>
      </w:rPr>
      <w:t>0</w:t>
    </w:r>
    <w:r w:rsidR="00CA7306">
      <w:rPr>
        <w:rFonts w:eastAsia="Times New Roman"/>
        <w:noProof/>
      </w:rPr>
      <w:t>5</w:t>
    </w:r>
    <w:r>
      <w:rPr>
        <w:rFonts w:eastAsia="Times New Roman"/>
        <w:noProof/>
      </w:rPr>
      <w:t>-2</w:t>
    </w:r>
    <w:r w:rsidR="00834345">
      <w:rPr>
        <w:rFonts w:eastAsia="Times New Roman"/>
        <w:noProof/>
      </w:rPr>
      <w:t>3</w:t>
    </w:r>
    <w:r>
      <w:rPr>
        <w:rFonts w:eastAsia="Times New Roman"/>
        <w:noProof/>
      </w:rPr>
      <w:t>-2019</w:t>
    </w:r>
    <w:r>
      <w:t xml:space="preserve"> | Version 1.</w:t>
    </w:r>
    <w:r w:rsidR="00926A6A">
      <w:t>2</w:t>
    </w:r>
    <w:r>
      <w:ptab w:relativeTo="margin" w:alignment="right" w:leader="none"/>
    </w:r>
    <w:r w:rsidRPr="00711964">
      <w:rPr>
        <w:color w:val="808080" w:themeColor="background1" w:themeShade="80"/>
        <w:spacing w:val="60"/>
      </w:rPr>
      <w:t>Page</w:t>
    </w:r>
    <w:r w:rsidRPr="00711964">
      <w:t xml:space="preserve"> | </w:t>
    </w:r>
    <w:r w:rsidRPr="00711964">
      <w:fldChar w:fldCharType="begin"/>
    </w:r>
    <w:r w:rsidRPr="00711964">
      <w:instrText xml:space="preserve"> PAGE   \* MERGEFORMAT </w:instrText>
    </w:r>
    <w:r w:rsidRPr="00711964">
      <w:fldChar w:fldCharType="separate"/>
    </w:r>
    <w:r>
      <w:t>i</w:t>
    </w:r>
    <w:r w:rsidRPr="00711964">
      <w:rPr>
        <w:b/>
        <w:bCs/>
        <w:noProof/>
      </w:rPr>
      <w:fldChar w:fldCharType="end"/>
    </w:r>
  </w:p>
  <w:p w14:paraId="1C18ABAD" w14:textId="77777777" w:rsidR="00280FA5" w:rsidRPr="006F05FD" w:rsidRDefault="00280FA5" w:rsidP="006F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53AE" w14:textId="63B2AFB6" w:rsidR="00EB293D" w:rsidRDefault="00EB293D" w:rsidP="000F49DF">
    <w:pPr>
      <w:pStyle w:val="Footer"/>
    </w:pPr>
    <w:r>
      <w:rPr>
        <w:rFonts w:eastAsia="Times New Roman"/>
        <w:noProof/>
      </w:rPr>
      <w:drawing>
        <wp:anchor distT="0" distB="0" distL="114300" distR="114300" simplePos="0" relativeHeight="251656704" behindDoc="0" locked="0" layoutInCell="1" allowOverlap="1" wp14:anchorId="54EEB753" wp14:editId="64FBE07D">
          <wp:simplePos x="0" y="0"/>
          <wp:positionH relativeFrom="column">
            <wp:posOffset>0</wp:posOffset>
          </wp:positionH>
          <wp:positionV relativeFrom="paragraph">
            <wp:posOffset>-30480</wp:posOffset>
          </wp:positionV>
          <wp:extent cx="678180" cy="279400"/>
          <wp:effectExtent l="0" t="0" r="7620" b="6350"/>
          <wp:wrapSquare wrapText="bothSides"/>
          <wp:docPr id="3" name="Picture 3" descr="cid:0400434D-A477-4223-BA8F-AA40434F2FD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72411D-2ADF-49DA-89B7-BE07962B0877" descr="cid:0400434D-A477-4223-BA8F-AA40434F2FDC@Home"/>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0096"/>
                  <a:stretch/>
                </pic:blipFill>
                <pic:spPr bwMode="auto">
                  <a:xfrm>
                    <a:off x="0" y="0"/>
                    <a:ext cx="678180" cy="279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797D">
      <w:rPr>
        <w:rFonts w:eastAsia="Times New Roman"/>
        <w:noProof/>
      </w:rPr>
      <w:t>0</w:t>
    </w:r>
    <w:r w:rsidR="001A3809">
      <w:rPr>
        <w:rFonts w:eastAsia="Times New Roman"/>
        <w:noProof/>
      </w:rPr>
      <w:t>5</w:t>
    </w:r>
    <w:r w:rsidR="00926A6A">
      <w:rPr>
        <w:rFonts w:eastAsia="Times New Roman"/>
        <w:noProof/>
      </w:rPr>
      <w:t>-</w:t>
    </w:r>
    <w:r w:rsidR="00713310">
      <w:rPr>
        <w:rFonts w:eastAsia="Times New Roman"/>
        <w:noProof/>
      </w:rPr>
      <w:t>2</w:t>
    </w:r>
    <w:r w:rsidR="001A3809">
      <w:rPr>
        <w:rFonts w:eastAsia="Times New Roman"/>
        <w:noProof/>
      </w:rPr>
      <w:t>3</w:t>
    </w:r>
    <w:r w:rsidR="00713310">
      <w:rPr>
        <w:rFonts w:eastAsia="Times New Roman"/>
        <w:noProof/>
      </w:rPr>
      <w:t>-2019</w:t>
    </w:r>
    <w:r>
      <w:t xml:space="preserve"> | Version 1.</w:t>
    </w:r>
    <w:r w:rsidR="00926A6A">
      <w:t>2</w:t>
    </w:r>
    <w:r>
      <w:ptab w:relativeTo="margin" w:alignment="right" w:leader="none"/>
    </w:r>
    <w:r w:rsidRPr="00711964">
      <w:rPr>
        <w:color w:val="808080" w:themeColor="background1" w:themeShade="80"/>
        <w:spacing w:val="60"/>
      </w:rPr>
      <w:t>Page</w:t>
    </w:r>
    <w:r w:rsidRPr="00711964">
      <w:t xml:space="preserve"> | </w:t>
    </w:r>
    <w:r w:rsidRPr="00711964">
      <w:fldChar w:fldCharType="begin"/>
    </w:r>
    <w:r w:rsidRPr="00711964">
      <w:instrText xml:space="preserve"> PAGE   \* MERGEFORMAT </w:instrText>
    </w:r>
    <w:r w:rsidRPr="00711964">
      <w:fldChar w:fldCharType="separate"/>
    </w:r>
    <w:r w:rsidRPr="00DF3B99">
      <w:rPr>
        <w:b/>
        <w:bCs/>
        <w:noProof/>
      </w:rPr>
      <w:t>1</w:t>
    </w:r>
    <w:r w:rsidRPr="00711964">
      <w:rPr>
        <w:b/>
        <w:bCs/>
        <w:noProof/>
      </w:rPr>
      <w:fldChar w:fldCharType="end"/>
    </w:r>
  </w:p>
  <w:p w14:paraId="60EB2C8D" w14:textId="77777777" w:rsidR="00EB293D" w:rsidRPr="00711964" w:rsidRDefault="00EB293D" w:rsidP="000F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79928"/>
      <w:docPartObj>
        <w:docPartGallery w:val="Page Numbers (Bottom of Page)"/>
        <w:docPartUnique/>
      </w:docPartObj>
    </w:sdtPr>
    <w:sdtEndPr>
      <w:rPr>
        <w:color w:val="7F7F7F" w:themeColor="background1" w:themeShade="7F"/>
        <w:spacing w:val="60"/>
      </w:rPr>
    </w:sdtEndPr>
    <w:sdtContent>
      <w:p w14:paraId="0BE2D914" w14:textId="7A0D7C07" w:rsidR="00E43ACA" w:rsidRDefault="00E43A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101B7E" w14:textId="19BE45BA" w:rsidR="0050146D" w:rsidRPr="00711964" w:rsidRDefault="00810DCC" w:rsidP="00262B56">
    <w:pPr>
      <w:pStyle w:val="Footer"/>
      <w:tabs>
        <w:tab w:val="clear" w:pos="4680"/>
        <w:tab w:val="clear" w:pos="9360"/>
        <w:tab w:val="left" w:pos="3650"/>
      </w:tabs>
      <w:jc w:val="center"/>
    </w:pPr>
    <w:r>
      <w:t xml:space="preserve">03-28-2019 </w:t>
    </w:r>
    <w:r w:rsidR="001E3EF1">
      <w:t>|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5FEB" w14:textId="77777777" w:rsidR="001431D0" w:rsidRDefault="001431D0">
      <w:pPr>
        <w:spacing w:before="0" w:after="0" w:line="240" w:lineRule="auto"/>
      </w:pPr>
      <w:r>
        <w:separator/>
      </w:r>
    </w:p>
  </w:footnote>
  <w:footnote w:type="continuationSeparator" w:id="0">
    <w:p w14:paraId="36B53A2A" w14:textId="77777777" w:rsidR="001431D0" w:rsidRDefault="001431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7BD7" w14:textId="77777777" w:rsidR="00EB293D" w:rsidRDefault="00EB2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7D87" w14:textId="6AB01C01" w:rsidR="00EB293D" w:rsidRDefault="00EB2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61D" w14:textId="2667C270" w:rsidR="00EB293D" w:rsidRDefault="00EB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A805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047E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104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01F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349A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C29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F202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A05E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002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725F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F59F5"/>
    <w:multiLevelType w:val="hybridMultilevel"/>
    <w:tmpl w:val="D0AE19AC"/>
    <w:lvl w:ilvl="0" w:tplc="33080E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5181B"/>
    <w:multiLevelType w:val="hybridMultilevel"/>
    <w:tmpl w:val="E27436F4"/>
    <w:lvl w:ilvl="0" w:tplc="28BE64AE">
      <w:start w:val="1"/>
      <w:numFmt w:val="decimal"/>
      <w:lvlText w:val="%1."/>
      <w:lvlJc w:val="left"/>
      <w:pPr>
        <w:ind w:left="360" w:hanging="360"/>
      </w:pPr>
      <w:rPr>
        <w:rFonts w:hint="default"/>
      </w:rPr>
    </w:lvl>
    <w:lvl w:ilvl="1" w:tplc="BEC6246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561E98"/>
    <w:multiLevelType w:val="hybridMultilevel"/>
    <w:tmpl w:val="BE72A934"/>
    <w:lvl w:ilvl="0" w:tplc="0409000F">
      <w:start w:val="1"/>
      <w:numFmt w:val="decimal"/>
      <w:lvlText w:val="%1."/>
      <w:lvlJc w:val="left"/>
      <w:pPr>
        <w:ind w:left="720" w:hanging="360"/>
      </w:pPr>
      <w:rPr>
        <w:rFonts w:hint="default"/>
        <w:color w:val="auto"/>
        <w:position w:val="-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764B11"/>
    <w:multiLevelType w:val="hybridMultilevel"/>
    <w:tmpl w:val="13DC6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72844"/>
    <w:multiLevelType w:val="hybridMultilevel"/>
    <w:tmpl w:val="F432AF2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F6335"/>
    <w:multiLevelType w:val="hybridMultilevel"/>
    <w:tmpl w:val="EFB2346C"/>
    <w:lvl w:ilvl="0" w:tplc="6D3C28C8">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65E43"/>
    <w:multiLevelType w:val="hybridMultilevel"/>
    <w:tmpl w:val="5F3E265A"/>
    <w:lvl w:ilvl="0" w:tplc="F16A3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146E0"/>
    <w:multiLevelType w:val="hybridMultilevel"/>
    <w:tmpl w:val="A02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95B27"/>
    <w:multiLevelType w:val="hybridMultilevel"/>
    <w:tmpl w:val="86B8C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22D68"/>
    <w:multiLevelType w:val="hybridMultilevel"/>
    <w:tmpl w:val="3FBC8B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0B1493"/>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322C7816"/>
    <w:multiLevelType w:val="hybridMultilevel"/>
    <w:tmpl w:val="03DEC5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4F64D9"/>
    <w:multiLevelType w:val="hybridMultilevel"/>
    <w:tmpl w:val="61D48ECA"/>
    <w:lvl w:ilvl="0" w:tplc="28BE64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712EA12">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B0447"/>
    <w:multiLevelType w:val="hybridMultilevel"/>
    <w:tmpl w:val="AF780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71A90"/>
    <w:multiLevelType w:val="hybridMultilevel"/>
    <w:tmpl w:val="847049C8"/>
    <w:lvl w:ilvl="0" w:tplc="CB4CD2C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A1CF9"/>
    <w:multiLevelType w:val="hybridMultilevel"/>
    <w:tmpl w:val="54AEF304"/>
    <w:lvl w:ilvl="0" w:tplc="454CF9F2">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40B49"/>
    <w:multiLevelType w:val="hybridMultilevel"/>
    <w:tmpl w:val="1AD23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D5BAF"/>
    <w:multiLevelType w:val="hybridMultilevel"/>
    <w:tmpl w:val="554C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46C92"/>
    <w:multiLevelType w:val="hybridMultilevel"/>
    <w:tmpl w:val="F6B63AC6"/>
    <w:lvl w:ilvl="0" w:tplc="0409000F">
      <w:start w:val="1"/>
      <w:numFmt w:val="decimal"/>
      <w:lvlText w:val="%1."/>
      <w:lvlJc w:val="left"/>
      <w:pPr>
        <w:ind w:left="360" w:hanging="360"/>
      </w:pPr>
    </w:lvl>
    <w:lvl w:ilvl="1" w:tplc="3A32F416">
      <w:start w:val="1"/>
      <w:numFmt w:val="lowerLetter"/>
      <w:lvlText w:val="%2."/>
      <w:lvlJc w:val="left"/>
      <w:pPr>
        <w:ind w:left="1080" w:hanging="360"/>
      </w:pPr>
      <w:rPr>
        <w:rFonts w:ascii="Calibri" w:hAnsi="Calibri" w:hint="default"/>
        <w:b w:val="0"/>
        <w:i w:val="0"/>
        <w:caps w:val="0"/>
        <w:strike w:val="0"/>
        <w:dstrike w:val="0"/>
        <w:vanish w:val="0"/>
        <w:sz w:val="22"/>
        <w:vertAlign w:val="baseline"/>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A262E4"/>
    <w:multiLevelType w:val="hybridMultilevel"/>
    <w:tmpl w:val="2F1C99B6"/>
    <w:lvl w:ilvl="0" w:tplc="7026BD38">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27835"/>
    <w:multiLevelType w:val="hybridMultilevel"/>
    <w:tmpl w:val="9A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43FBE"/>
    <w:multiLevelType w:val="hybridMultilevel"/>
    <w:tmpl w:val="469A0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022ED"/>
    <w:multiLevelType w:val="hybridMultilevel"/>
    <w:tmpl w:val="479CC088"/>
    <w:lvl w:ilvl="0" w:tplc="1C7C1164">
      <w:start w:val="1"/>
      <w:numFmt w:val="bullet"/>
      <w:lvlText w:val=""/>
      <w:lvlJc w:val="left"/>
      <w:pPr>
        <w:tabs>
          <w:tab w:val="num" w:pos="-1377"/>
        </w:tabs>
        <w:ind w:left="-1377" w:hanging="360"/>
      </w:pPr>
      <w:rPr>
        <w:rFonts w:ascii="Symbol" w:hAnsi="Symbol" w:hint="default"/>
      </w:rPr>
    </w:lvl>
    <w:lvl w:ilvl="1" w:tplc="89DE8F86" w:tentative="1">
      <w:start w:val="1"/>
      <w:numFmt w:val="bullet"/>
      <w:lvlText w:val="o"/>
      <w:lvlJc w:val="left"/>
      <w:pPr>
        <w:tabs>
          <w:tab w:val="num" w:pos="-1017"/>
        </w:tabs>
        <w:ind w:left="-1017" w:hanging="360"/>
      </w:pPr>
      <w:rPr>
        <w:rFonts w:ascii="Courier New" w:hAnsi="Courier New" w:hint="default"/>
      </w:rPr>
    </w:lvl>
    <w:lvl w:ilvl="2" w:tplc="7DF80516" w:tentative="1">
      <w:start w:val="1"/>
      <w:numFmt w:val="bullet"/>
      <w:lvlText w:val=""/>
      <w:lvlJc w:val="left"/>
      <w:pPr>
        <w:tabs>
          <w:tab w:val="num" w:pos="-297"/>
        </w:tabs>
        <w:ind w:left="-297" w:hanging="360"/>
      </w:pPr>
      <w:rPr>
        <w:rFonts w:ascii="Wingdings" w:hAnsi="Wingdings" w:hint="default"/>
      </w:rPr>
    </w:lvl>
    <w:lvl w:ilvl="3" w:tplc="954C126E" w:tentative="1">
      <w:start w:val="1"/>
      <w:numFmt w:val="bullet"/>
      <w:lvlText w:val=""/>
      <w:lvlJc w:val="left"/>
      <w:pPr>
        <w:tabs>
          <w:tab w:val="num" w:pos="423"/>
        </w:tabs>
        <w:ind w:left="423" w:hanging="360"/>
      </w:pPr>
      <w:rPr>
        <w:rFonts w:ascii="Symbol" w:hAnsi="Symbol" w:hint="default"/>
      </w:rPr>
    </w:lvl>
    <w:lvl w:ilvl="4" w:tplc="703E949E" w:tentative="1">
      <w:start w:val="1"/>
      <w:numFmt w:val="bullet"/>
      <w:lvlText w:val="o"/>
      <w:lvlJc w:val="left"/>
      <w:pPr>
        <w:tabs>
          <w:tab w:val="num" w:pos="1143"/>
        </w:tabs>
        <w:ind w:left="1143" w:hanging="360"/>
      </w:pPr>
      <w:rPr>
        <w:rFonts w:ascii="Courier New" w:hAnsi="Courier New" w:hint="default"/>
      </w:rPr>
    </w:lvl>
    <w:lvl w:ilvl="5" w:tplc="EFAAD746" w:tentative="1">
      <w:start w:val="1"/>
      <w:numFmt w:val="bullet"/>
      <w:lvlText w:val=""/>
      <w:lvlJc w:val="left"/>
      <w:pPr>
        <w:tabs>
          <w:tab w:val="num" w:pos="1863"/>
        </w:tabs>
        <w:ind w:left="1863" w:hanging="360"/>
      </w:pPr>
      <w:rPr>
        <w:rFonts w:ascii="Wingdings" w:hAnsi="Wingdings" w:hint="default"/>
      </w:rPr>
    </w:lvl>
    <w:lvl w:ilvl="6" w:tplc="170A355A" w:tentative="1">
      <w:start w:val="1"/>
      <w:numFmt w:val="bullet"/>
      <w:lvlText w:val=""/>
      <w:lvlJc w:val="left"/>
      <w:pPr>
        <w:tabs>
          <w:tab w:val="num" w:pos="2583"/>
        </w:tabs>
        <w:ind w:left="2583" w:hanging="360"/>
      </w:pPr>
      <w:rPr>
        <w:rFonts w:ascii="Symbol" w:hAnsi="Symbol" w:hint="default"/>
      </w:rPr>
    </w:lvl>
    <w:lvl w:ilvl="7" w:tplc="333AB6BC" w:tentative="1">
      <w:start w:val="1"/>
      <w:numFmt w:val="bullet"/>
      <w:lvlText w:val="o"/>
      <w:lvlJc w:val="left"/>
      <w:pPr>
        <w:tabs>
          <w:tab w:val="num" w:pos="3303"/>
        </w:tabs>
        <w:ind w:left="3303" w:hanging="360"/>
      </w:pPr>
      <w:rPr>
        <w:rFonts w:ascii="Courier New" w:hAnsi="Courier New" w:hint="default"/>
      </w:rPr>
    </w:lvl>
    <w:lvl w:ilvl="8" w:tplc="B9E40AEC" w:tentative="1">
      <w:start w:val="1"/>
      <w:numFmt w:val="bullet"/>
      <w:lvlText w:val=""/>
      <w:lvlJc w:val="left"/>
      <w:pPr>
        <w:tabs>
          <w:tab w:val="num" w:pos="4023"/>
        </w:tabs>
        <w:ind w:left="4023" w:hanging="360"/>
      </w:pPr>
      <w:rPr>
        <w:rFonts w:ascii="Wingdings" w:hAnsi="Wingdings" w:hint="default"/>
      </w:rPr>
    </w:lvl>
  </w:abstractNum>
  <w:abstractNum w:abstractNumId="33" w15:restartNumberingAfterBreak="0">
    <w:nsid w:val="5A5407F2"/>
    <w:multiLevelType w:val="hybridMultilevel"/>
    <w:tmpl w:val="F3C2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A2AB8"/>
    <w:multiLevelType w:val="hybridMultilevel"/>
    <w:tmpl w:val="0BFE4B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B86363"/>
    <w:multiLevelType w:val="hybridMultilevel"/>
    <w:tmpl w:val="485C82DA"/>
    <w:lvl w:ilvl="0" w:tplc="28BE64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E12A84"/>
    <w:multiLevelType w:val="hybridMultilevel"/>
    <w:tmpl w:val="9F84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F659B"/>
    <w:multiLevelType w:val="hybridMultilevel"/>
    <w:tmpl w:val="5170C8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C25E78"/>
    <w:multiLevelType w:val="hybridMultilevel"/>
    <w:tmpl w:val="C2ACF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46053"/>
    <w:multiLevelType w:val="hybridMultilevel"/>
    <w:tmpl w:val="26EC99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E70FDF"/>
    <w:multiLevelType w:val="hybridMultilevel"/>
    <w:tmpl w:val="1F986F42"/>
    <w:lvl w:ilvl="0" w:tplc="04090003">
      <w:start w:val="1"/>
      <w:numFmt w:val="bullet"/>
      <w:lvlText w:val="o"/>
      <w:lvlJc w:val="left"/>
      <w:pPr>
        <w:tabs>
          <w:tab w:val="num" w:pos="1440"/>
        </w:tabs>
        <w:ind w:left="1440" w:hanging="72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4C4065"/>
    <w:multiLevelType w:val="hybridMultilevel"/>
    <w:tmpl w:val="6E8EA7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F768E7"/>
    <w:multiLevelType w:val="hybridMultilevel"/>
    <w:tmpl w:val="48ECD8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253CAF"/>
    <w:multiLevelType w:val="hybridMultilevel"/>
    <w:tmpl w:val="B186FE10"/>
    <w:lvl w:ilvl="0" w:tplc="F372009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A2622"/>
    <w:multiLevelType w:val="hybridMultilevel"/>
    <w:tmpl w:val="625AA0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894C0F"/>
    <w:multiLevelType w:val="hybridMultilevel"/>
    <w:tmpl w:val="66401AD6"/>
    <w:lvl w:ilvl="0" w:tplc="89D2BCC4">
      <w:start w:val="1"/>
      <w:numFmt w:val="bullet"/>
      <w:lvlText w:val=""/>
      <w:lvlJc w:val="left"/>
      <w:pPr>
        <w:tabs>
          <w:tab w:val="num" w:pos="5490"/>
        </w:tabs>
        <w:ind w:left="5490" w:hanging="360"/>
      </w:pPr>
      <w:rPr>
        <w:rFonts w:ascii="Symbol" w:hAnsi="Symbol" w:hint="default"/>
        <w:sz w:val="20"/>
      </w:rPr>
    </w:lvl>
    <w:lvl w:ilvl="1" w:tplc="04090003">
      <w:start w:val="1"/>
      <w:numFmt w:val="bullet"/>
      <w:lvlText w:val="o"/>
      <w:lvlJc w:val="left"/>
      <w:pPr>
        <w:tabs>
          <w:tab w:val="num" w:pos="6210"/>
        </w:tabs>
        <w:ind w:left="6210" w:hanging="360"/>
      </w:pPr>
      <w:rPr>
        <w:rFonts w:ascii="Courier New" w:hAnsi="Courier New" w:hint="default"/>
      </w:rPr>
    </w:lvl>
    <w:lvl w:ilvl="2" w:tplc="04090005">
      <w:start w:val="1"/>
      <w:numFmt w:val="bullet"/>
      <w:lvlText w:val=""/>
      <w:lvlJc w:val="left"/>
      <w:pPr>
        <w:tabs>
          <w:tab w:val="num" w:pos="6930"/>
        </w:tabs>
        <w:ind w:left="6930" w:hanging="360"/>
      </w:pPr>
      <w:rPr>
        <w:rFonts w:ascii="Wingdings" w:hAnsi="Wingdings" w:hint="default"/>
      </w:rPr>
    </w:lvl>
    <w:lvl w:ilvl="3" w:tplc="04090001">
      <w:start w:val="1"/>
      <w:numFmt w:val="bullet"/>
      <w:lvlText w:val=""/>
      <w:lvlJc w:val="left"/>
      <w:pPr>
        <w:tabs>
          <w:tab w:val="num" w:pos="7650"/>
        </w:tabs>
        <w:ind w:left="7650" w:hanging="360"/>
      </w:pPr>
      <w:rPr>
        <w:rFonts w:ascii="Symbol" w:hAnsi="Symbol" w:hint="default"/>
      </w:rPr>
    </w:lvl>
    <w:lvl w:ilvl="4" w:tplc="04090003">
      <w:start w:val="1"/>
      <w:numFmt w:val="bullet"/>
      <w:lvlText w:val="o"/>
      <w:lvlJc w:val="left"/>
      <w:pPr>
        <w:tabs>
          <w:tab w:val="num" w:pos="8370"/>
        </w:tabs>
        <w:ind w:left="8370" w:hanging="360"/>
      </w:pPr>
      <w:rPr>
        <w:rFonts w:ascii="Courier New" w:hAnsi="Courier New" w:hint="default"/>
      </w:rPr>
    </w:lvl>
    <w:lvl w:ilvl="5" w:tplc="04090005">
      <w:start w:val="1"/>
      <w:numFmt w:val="bullet"/>
      <w:lvlText w:val=""/>
      <w:lvlJc w:val="left"/>
      <w:pPr>
        <w:tabs>
          <w:tab w:val="num" w:pos="9090"/>
        </w:tabs>
        <w:ind w:left="9090" w:hanging="360"/>
      </w:pPr>
      <w:rPr>
        <w:rFonts w:ascii="Wingdings" w:hAnsi="Wingdings" w:hint="default"/>
      </w:rPr>
    </w:lvl>
    <w:lvl w:ilvl="6" w:tplc="04090001">
      <w:start w:val="1"/>
      <w:numFmt w:val="bullet"/>
      <w:lvlText w:val=""/>
      <w:lvlJc w:val="left"/>
      <w:pPr>
        <w:tabs>
          <w:tab w:val="num" w:pos="9810"/>
        </w:tabs>
        <w:ind w:left="9810" w:hanging="360"/>
      </w:pPr>
      <w:rPr>
        <w:rFonts w:ascii="Symbol" w:hAnsi="Symbol" w:hint="default"/>
      </w:rPr>
    </w:lvl>
    <w:lvl w:ilvl="7" w:tplc="04090003">
      <w:start w:val="1"/>
      <w:numFmt w:val="bullet"/>
      <w:lvlText w:val="o"/>
      <w:lvlJc w:val="left"/>
      <w:pPr>
        <w:tabs>
          <w:tab w:val="num" w:pos="10530"/>
        </w:tabs>
        <w:ind w:left="10530" w:hanging="360"/>
      </w:pPr>
      <w:rPr>
        <w:rFonts w:ascii="Courier New" w:hAnsi="Courier New" w:hint="default"/>
      </w:rPr>
    </w:lvl>
    <w:lvl w:ilvl="8" w:tplc="04090005">
      <w:start w:val="1"/>
      <w:numFmt w:val="bullet"/>
      <w:lvlText w:val=""/>
      <w:lvlJc w:val="left"/>
      <w:pPr>
        <w:tabs>
          <w:tab w:val="num" w:pos="11250"/>
        </w:tabs>
        <w:ind w:left="11250" w:hanging="360"/>
      </w:pPr>
      <w:rPr>
        <w:rFonts w:ascii="Wingdings" w:hAnsi="Wingdings" w:hint="default"/>
      </w:rPr>
    </w:lvl>
  </w:abstractNum>
  <w:abstractNum w:abstractNumId="46" w15:restartNumberingAfterBreak="0">
    <w:nsid w:val="7596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6E3248"/>
    <w:multiLevelType w:val="hybridMultilevel"/>
    <w:tmpl w:val="55F65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1"/>
  </w:num>
  <w:num w:numId="13">
    <w:abstractNumId w:val="47"/>
  </w:num>
  <w:num w:numId="14">
    <w:abstractNumId w:val="28"/>
  </w:num>
  <w:num w:numId="15">
    <w:abstractNumId w:val="35"/>
  </w:num>
  <w:num w:numId="16">
    <w:abstractNumId w:val="11"/>
  </w:num>
  <w:num w:numId="17">
    <w:abstractNumId w:val="12"/>
  </w:num>
  <w:num w:numId="18">
    <w:abstractNumId w:val="13"/>
  </w:num>
  <w:num w:numId="19">
    <w:abstractNumId w:val="10"/>
  </w:num>
  <w:num w:numId="20">
    <w:abstractNumId w:val="29"/>
  </w:num>
  <w:num w:numId="21">
    <w:abstractNumId w:val="25"/>
  </w:num>
  <w:num w:numId="22">
    <w:abstractNumId w:val="43"/>
  </w:num>
  <w:num w:numId="23">
    <w:abstractNumId w:val="24"/>
  </w:num>
  <w:num w:numId="24">
    <w:abstractNumId w:val="15"/>
  </w:num>
  <w:num w:numId="25">
    <w:abstractNumId w:val="22"/>
  </w:num>
  <w:num w:numId="26">
    <w:abstractNumId w:val="14"/>
  </w:num>
  <w:num w:numId="27">
    <w:abstractNumId w:val="18"/>
  </w:num>
  <w:num w:numId="28">
    <w:abstractNumId w:val="36"/>
  </w:num>
  <w:num w:numId="29">
    <w:abstractNumId w:val="40"/>
  </w:num>
  <w:num w:numId="30">
    <w:abstractNumId w:val="17"/>
  </w:num>
  <w:num w:numId="31">
    <w:abstractNumId w:val="27"/>
  </w:num>
  <w:num w:numId="32">
    <w:abstractNumId w:val="33"/>
  </w:num>
  <w:num w:numId="33">
    <w:abstractNumId w:val="38"/>
  </w:num>
  <w:num w:numId="34">
    <w:abstractNumId w:val="30"/>
  </w:num>
  <w:num w:numId="35">
    <w:abstractNumId w:val="16"/>
  </w:num>
  <w:num w:numId="36">
    <w:abstractNumId w:val="20"/>
  </w:num>
  <w:num w:numId="37">
    <w:abstractNumId w:val="46"/>
  </w:num>
  <w:num w:numId="38">
    <w:abstractNumId w:val="32"/>
  </w:num>
  <w:num w:numId="39">
    <w:abstractNumId w:val="45"/>
  </w:num>
  <w:num w:numId="40">
    <w:abstractNumId w:val="21"/>
  </w:num>
  <w:num w:numId="41">
    <w:abstractNumId w:val="37"/>
  </w:num>
  <w:num w:numId="42">
    <w:abstractNumId w:val="41"/>
  </w:num>
  <w:num w:numId="43">
    <w:abstractNumId w:val="44"/>
  </w:num>
  <w:num w:numId="44">
    <w:abstractNumId w:val="19"/>
  </w:num>
  <w:num w:numId="45">
    <w:abstractNumId w:val="39"/>
  </w:num>
  <w:num w:numId="46">
    <w:abstractNumId w:val="42"/>
  </w:num>
  <w:num w:numId="47">
    <w:abstractNumId w:val="34"/>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MzQ0M7A0MTW2NDJT0lEKTi0uzszPAykwNKkFAGtN5+YtAAAA"/>
  </w:docVars>
  <w:rsids>
    <w:rsidRoot w:val="0023388C"/>
    <w:rsid w:val="00001348"/>
    <w:rsid w:val="000105F3"/>
    <w:rsid w:val="000218D9"/>
    <w:rsid w:val="000247BB"/>
    <w:rsid w:val="00031ED7"/>
    <w:rsid w:val="00035AE0"/>
    <w:rsid w:val="00045853"/>
    <w:rsid w:val="00047D3E"/>
    <w:rsid w:val="000519DB"/>
    <w:rsid w:val="0005674A"/>
    <w:rsid w:val="00075668"/>
    <w:rsid w:val="00086B95"/>
    <w:rsid w:val="000A487C"/>
    <w:rsid w:val="000A73C4"/>
    <w:rsid w:val="000A7EF2"/>
    <w:rsid w:val="000B6C18"/>
    <w:rsid w:val="000C012E"/>
    <w:rsid w:val="000C55C1"/>
    <w:rsid w:val="000C778B"/>
    <w:rsid w:val="000D2F7A"/>
    <w:rsid w:val="000F0213"/>
    <w:rsid w:val="000F33D6"/>
    <w:rsid w:val="000F49DF"/>
    <w:rsid w:val="000F522D"/>
    <w:rsid w:val="000F7273"/>
    <w:rsid w:val="00121AB3"/>
    <w:rsid w:val="00130A3B"/>
    <w:rsid w:val="001431D0"/>
    <w:rsid w:val="001442CB"/>
    <w:rsid w:val="00145409"/>
    <w:rsid w:val="00150172"/>
    <w:rsid w:val="00152C67"/>
    <w:rsid w:val="00155B79"/>
    <w:rsid w:val="0015650D"/>
    <w:rsid w:val="00162FC4"/>
    <w:rsid w:val="001630D8"/>
    <w:rsid w:val="00164110"/>
    <w:rsid w:val="001703CE"/>
    <w:rsid w:val="001737C1"/>
    <w:rsid w:val="00177A42"/>
    <w:rsid w:val="00181B95"/>
    <w:rsid w:val="0018607C"/>
    <w:rsid w:val="001908B0"/>
    <w:rsid w:val="00195B39"/>
    <w:rsid w:val="00197B28"/>
    <w:rsid w:val="001A3809"/>
    <w:rsid w:val="001A530B"/>
    <w:rsid w:val="001A72DD"/>
    <w:rsid w:val="001B4B51"/>
    <w:rsid w:val="001C4ED7"/>
    <w:rsid w:val="001D18E2"/>
    <w:rsid w:val="001D3B85"/>
    <w:rsid w:val="001D6584"/>
    <w:rsid w:val="001D661A"/>
    <w:rsid w:val="001E227F"/>
    <w:rsid w:val="001E3EF1"/>
    <w:rsid w:val="001E7866"/>
    <w:rsid w:val="001E7EAA"/>
    <w:rsid w:val="001E7FB5"/>
    <w:rsid w:val="001F45B7"/>
    <w:rsid w:val="00205957"/>
    <w:rsid w:val="00206DFD"/>
    <w:rsid w:val="00210D65"/>
    <w:rsid w:val="00213DC1"/>
    <w:rsid w:val="00216503"/>
    <w:rsid w:val="00220977"/>
    <w:rsid w:val="0023388C"/>
    <w:rsid w:val="002350D5"/>
    <w:rsid w:val="00241E82"/>
    <w:rsid w:val="002510F4"/>
    <w:rsid w:val="002547AF"/>
    <w:rsid w:val="00262218"/>
    <w:rsid w:val="00262B56"/>
    <w:rsid w:val="00266160"/>
    <w:rsid w:val="00267F5D"/>
    <w:rsid w:val="002734B7"/>
    <w:rsid w:val="00275E29"/>
    <w:rsid w:val="00280FA5"/>
    <w:rsid w:val="002820A1"/>
    <w:rsid w:val="0028285E"/>
    <w:rsid w:val="00283C1F"/>
    <w:rsid w:val="002933E2"/>
    <w:rsid w:val="0029395D"/>
    <w:rsid w:val="00296CA1"/>
    <w:rsid w:val="0029707D"/>
    <w:rsid w:val="002C2B5B"/>
    <w:rsid w:val="002C4003"/>
    <w:rsid w:val="002D7FAF"/>
    <w:rsid w:val="002E1580"/>
    <w:rsid w:val="002F0CBF"/>
    <w:rsid w:val="00305BF7"/>
    <w:rsid w:val="0032101B"/>
    <w:rsid w:val="00334168"/>
    <w:rsid w:val="00350185"/>
    <w:rsid w:val="00356C9B"/>
    <w:rsid w:val="003639E2"/>
    <w:rsid w:val="0036710A"/>
    <w:rsid w:val="0037097C"/>
    <w:rsid w:val="00370FF1"/>
    <w:rsid w:val="00371727"/>
    <w:rsid w:val="00373772"/>
    <w:rsid w:val="0038215F"/>
    <w:rsid w:val="00385060"/>
    <w:rsid w:val="003872B1"/>
    <w:rsid w:val="00393BBA"/>
    <w:rsid w:val="003A3FEC"/>
    <w:rsid w:val="003A78EA"/>
    <w:rsid w:val="003B0B9B"/>
    <w:rsid w:val="003B1D34"/>
    <w:rsid w:val="003B45FD"/>
    <w:rsid w:val="003C58A3"/>
    <w:rsid w:val="003D1EE8"/>
    <w:rsid w:val="003D2A52"/>
    <w:rsid w:val="003D33B0"/>
    <w:rsid w:val="003D4B5B"/>
    <w:rsid w:val="003F3471"/>
    <w:rsid w:val="003F48FE"/>
    <w:rsid w:val="003F4978"/>
    <w:rsid w:val="004048EA"/>
    <w:rsid w:val="00407FFB"/>
    <w:rsid w:val="00412C46"/>
    <w:rsid w:val="00433931"/>
    <w:rsid w:val="00436002"/>
    <w:rsid w:val="00444760"/>
    <w:rsid w:val="00444F59"/>
    <w:rsid w:val="00451886"/>
    <w:rsid w:val="00472B46"/>
    <w:rsid w:val="0047399C"/>
    <w:rsid w:val="0047533F"/>
    <w:rsid w:val="004755BF"/>
    <w:rsid w:val="00481A05"/>
    <w:rsid w:val="00482642"/>
    <w:rsid w:val="004964E1"/>
    <w:rsid w:val="00496F37"/>
    <w:rsid w:val="004B6ACC"/>
    <w:rsid w:val="004C4B2E"/>
    <w:rsid w:val="004C6CB2"/>
    <w:rsid w:val="004D6A68"/>
    <w:rsid w:val="004D7736"/>
    <w:rsid w:val="004E39BF"/>
    <w:rsid w:val="004E3C5D"/>
    <w:rsid w:val="004F20E4"/>
    <w:rsid w:val="004F580E"/>
    <w:rsid w:val="0050146D"/>
    <w:rsid w:val="00503B61"/>
    <w:rsid w:val="00504051"/>
    <w:rsid w:val="005123F1"/>
    <w:rsid w:val="0051448F"/>
    <w:rsid w:val="00514F1A"/>
    <w:rsid w:val="005160F8"/>
    <w:rsid w:val="00516903"/>
    <w:rsid w:val="00522F7F"/>
    <w:rsid w:val="00523678"/>
    <w:rsid w:val="00530AAA"/>
    <w:rsid w:val="00532F7E"/>
    <w:rsid w:val="00535F37"/>
    <w:rsid w:val="00537FA2"/>
    <w:rsid w:val="005402D0"/>
    <w:rsid w:val="00540A6D"/>
    <w:rsid w:val="00543925"/>
    <w:rsid w:val="00543FD8"/>
    <w:rsid w:val="00551B7A"/>
    <w:rsid w:val="00553688"/>
    <w:rsid w:val="00556F92"/>
    <w:rsid w:val="005634BB"/>
    <w:rsid w:val="005641FD"/>
    <w:rsid w:val="00566425"/>
    <w:rsid w:val="00566B21"/>
    <w:rsid w:val="0057325D"/>
    <w:rsid w:val="00573C48"/>
    <w:rsid w:val="00577A9A"/>
    <w:rsid w:val="00596B2A"/>
    <w:rsid w:val="00597463"/>
    <w:rsid w:val="00597F91"/>
    <w:rsid w:val="005A00AE"/>
    <w:rsid w:val="005A0BCF"/>
    <w:rsid w:val="005B6F2A"/>
    <w:rsid w:val="005C1668"/>
    <w:rsid w:val="005D0105"/>
    <w:rsid w:val="005F273B"/>
    <w:rsid w:val="005F4716"/>
    <w:rsid w:val="005F7EFB"/>
    <w:rsid w:val="00602B4F"/>
    <w:rsid w:val="0060579D"/>
    <w:rsid w:val="0061086E"/>
    <w:rsid w:val="006113D6"/>
    <w:rsid w:val="0061154E"/>
    <w:rsid w:val="00617D87"/>
    <w:rsid w:val="006305AD"/>
    <w:rsid w:val="00634CA8"/>
    <w:rsid w:val="0065553C"/>
    <w:rsid w:val="00661E67"/>
    <w:rsid w:val="006660BC"/>
    <w:rsid w:val="00671C2C"/>
    <w:rsid w:val="00674408"/>
    <w:rsid w:val="00682828"/>
    <w:rsid w:val="006A0618"/>
    <w:rsid w:val="006A0D58"/>
    <w:rsid w:val="006B0359"/>
    <w:rsid w:val="006B6783"/>
    <w:rsid w:val="006E45D7"/>
    <w:rsid w:val="006E689A"/>
    <w:rsid w:val="006F0038"/>
    <w:rsid w:val="006F0151"/>
    <w:rsid w:val="006F05FD"/>
    <w:rsid w:val="006F3397"/>
    <w:rsid w:val="007033CD"/>
    <w:rsid w:val="00703448"/>
    <w:rsid w:val="00704E3D"/>
    <w:rsid w:val="007059C6"/>
    <w:rsid w:val="00712AE7"/>
    <w:rsid w:val="00713310"/>
    <w:rsid w:val="00717F45"/>
    <w:rsid w:val="0072140C"/>
    <w:rsid w:val="007254DD"/>
    <w:rsid w:val="00730567"/>
    <w:rsid w:val="007367BA"/>
    <w:rsid w:val="00753D18"/>
    <w:rsid w:val="00772CD8"/>
    <w:rsid w:val="007801C2"/>
    <w:rsid w:val="00780B21"/>
    <w:rsid w:val="007818AC"/>
    <w:rsid w:val="00785345"/>
    <w:rsid w:val="00791932"/>
    <w:rsid w:val="00793427"/>
    <w:rsid w:val="00794584"/>
    <w:rsid w:val="00796212"/>
    <w:rsid w:val="007A16DC"/>
    <w:rsid w:val="007C17D3"/>
    <w:rsid w:val="007C2596"/>
    <w:rsid w:val="007C6467"/>
    <w:rsid w:val="007D2B0C"/>
    <w:rsid w:val="007E0DAE"/>
    <w:rsid w:val="007F1446"/>
    <w:rsid w:val="007F20D2"/>
    <w:rsid w:val="007F4F6D"/>
    <w:rsid w:val="00800200"/>
    <w:rsid w:val="00802557"/>
    <w:rsid w:val="00807105"/>
    <w:rsid w:val="00810DCC"/>
    <w:rsid w:val="0081396D"/>
    <w:rsid w:val="00816DAC"/>
    <w:rsid w:val="008220D3"/>
    <w:rsid w:val="00827BD0"/>
    <w:rsid w:val="00834345"/>
    <w:rsid w:val="00837E30"/>
    <w:rsid w:val="00841E87"/>
    <w:rsid w:val="00843106"/>
    <w:rsid w:val="00853DD6"/>
    <w:rsid w:val="00863F69"/>
    <w:rsid w:val="0086792B"/>
    <w:rsid w:val="00880C27"/>
    <w:rsid w:val="00883E19"/>
    <w:rsid w:val="00886C3C"/>
    <w:rsid w:val="008872CA"/>
    <w:rsid w:val="00893D05"/>
    <w:rsid w:val="008A39C4"/>
    <w:rsid w:val="008A5147"/>
    <w:rsid w:val="008A52C3"/>
    <w:rsid w:val="008A693B"/>
    <w:rsid w:val="008B54D4"/>
    <w:rsid w:val="008E338D"/>
    <w:rsid w:val="008E3991"/>
    <w:rsid w:val="0090665B"/>
    <w:rsid w:val="0091696E"/>
    <w:rsid w:val="00926A6A"/>
    <w:rsid w:val="00926C1B"/>
    <w:rsid w:val="009271EC"/>
    <w:rsid w:val="00930976"/>
    <w:rsid w:val="0093343B"/>
    <w:rsid w:val="009338AC"/>
    <w:rsid w:val="009358D8"/>
    <w:rsid w:val="00946F44"/>
    <w:rsid w:val="009478B1"/>
    <w:rsid w:val="00951EAB"/>
    <w:rsid w:val="00956864"/>
    <w:rsid w:val="00970CA4"/>
    <w:rsid w:val="00973D81"/>
    <w:rsid w:val="009745AF"/>
    <w:rsid w:val="00986E0F"/>
    <w:rsid w:val="009918C6"/>
    <w:rsid w:val="00995E2A"/>
    <w:rsid w:val="00997A57"/>
    <w:rsid w:val="009A2D9A"/>
    <w:rsid w:val="009A723D"/>
    <w:rsid w:val="009B56C4"/>
    <w:rsid w:val="009B78FC"/>
    <w:rsid w:val="009B7E2D"/>
    <w:rsid w:val="009C19A7"/>
    <w:rsid w:val="009C3BC6"/>
    <w:rsid w:val="009C492B"/>
    <w:rsid w:val="009C6513"/>
    <w:rsid w:val="009D536D"/>
    <w:rsid w:val="009D5586"/>
    <w:rsid w:val="009D7570"/>
    <w:rsid w:val="009E25EF"/>
    <w:rsid w:val="009E27F5"/>
    <w:rsid w:val="009F2DC8"/>
    <w:rsid w:val="00A00C6E"/>
    <w:rsid w:val="00A053B2"/>
    <w:rsid w:val="00A15461"/>
    <w:rsid w:val="00A345CC"/>
    <w:rsid w:val="00A4445E"/>
    <w:rsid w:val="00A7258E"/>
    <w:rsid w:val="00A77414"/>
    <w:rsid w:val="00A80E61"/>
    <w:rsid w:val="00A85B81"/>
    <w:rsid w:val="00A908B5"/>
    <w:rsid w:val="00A92DE0"/>
    <w:rsid w:val="00A94FBE"/>
    <w:rsid w:val="00A953ED"/>
    <w:rsid w:val="00AA0CBB"/>
    <w:rsid w:val="00AA2AB6"/>
    <w:rsid w:val="00AA3633"/>
    <w:rsid w:val="00AA582E"/>
    <w:rsid w:val="00AA6174"/>
    <w:rsid w:val="00AB797D"/>
    <w:rsid w:val="00AD5C74"/>
    <w:rsid w:val="00AE06ED"/>
    <w:rsid w:val="00AE0F02"/>
    <w:rsid w:val="00AE7836"/>
    <w:rsid w:val="00AF751C"/>
    <w:rsid w:val="00B024EB"/>
    <w:rsid w:val="00B0311D"/>
    <w:rsid w:val="00B03BF5"/>
    <w:rsid w:val="00B107E0"/>
    <w:rsid w:val="00B16057"/>
    <w:rsid w:val="00B20BED"/>
    <w:rsid w:val="00B22775"/>
    <w:rsid w:val="00B24000"/>
    <w:rsid w:val="00B24030"/>
    <w:rsid w:val="00B264AD"/>
    <w:rsid w:val="00B269C9"/>
    <w:rsid w:val="00B270B3"/>
    <w:rsid w:val="00B312E9"/>
    <w:rsid w:val="00B31314"/>
    <w:rsid w:val="00B318DF"/>
    <w:rsid w:val="00B32FD4"/>
    <w:rsid w:val="00B33B88"/>
    <w:rsid w:val="00B52E7A"/>
    <w:rsid w:val="00B54885"/>
    <w:rsid w:val="00B6143D"/>
    <w:rsid w:val="00B6397B"/>
    <w:rsid w:val="00B6796B"/>
    <w:rsid w:val="00B70B92"/>
    <w:rsid w:val="00B71344"/>
    <w:rsid w:val="00B71429"/>
    <w:rsid w:val="00B72CBE"/>
    <w:rsid w:val="00B7430B"/>
    <w:rsid w:val="00B745BE"/>
    <w:rsid w:val="00B74CAF"/>
    <w:rsid w:val="00B81942"/>
    <w:rsid w:val="00B92CA2"/>
    <w:rsid w:val="00B95EBA"/>
    <w:rsid w:val="00BA251E"/>
    <w:rsid w:val="00BA31B3"/>
    <w:rsid w:val="00BA4498"/>
    <w:rsid w:val="00BB6292"/>
    <w:rsid w:val="00BB714D"/>
    <w:rsid w:val="00BD0B03"/>
    <w:rsid w:val="00BD4D5F"/>
    <w:rsid w:val="00BE0176"/>
    <w:rsid w:val="00BE0BBB"/>
    <w:rsid w:val="00BE2013"/>
    <w:rsid w:val="00BE38EC"/>
    <w:rsid w:val="00C04246"/>
    <w:rsid w:val="00C1735C"/>
    <w:rsid w:val="00C20866"/>
    <w:rsid w:val="00C32E4A"/>
    <w:rsid w:val="00C40DBF"/>
    <w:rsid w:val="00C44678"/>
    <w:rsid w:val="00C460AA"/>
    <w:rsid w:val="00C47735"/>
    <w:rsid w:val="00C54A3F"/>
    <w:rsid w:val="00C57507"/>
    <w:rsid w:val="00C61957"/>
    <w:rsid w:val="00C66DA8"/>
    <w:rsid w:val="00C70A37"/>
    <w:rsid w:val="00C75B33"/>
    <w:rsid w:val="00C80C40"/>
    <w:rsid w:val="00C81196"/>
    <w:rsid w:val="00C86780"/>
    <w:rsid w:val="00C87EBB"/>
    <w:rsid w:val="00CA320D"/>
    <w:rsid w:val="00CA7306"/>
    <w:rsid w:val="00CB64DA"/>
    <w:rsid w:val="00CC5E93"/>
    <w:rsid w:val="00CD6C15"/>
    <w:rsid w:val="00CE288A"/>
    <w:rsid w:val="00D048B6"/>
    <w:rsid w:val="00D04FBE"/>
    <w:rsid w:val="00D06F55"/>
    <w:rsid w:val="00D219CD"/>
    <w:rsid w:val="00D2226F"/>
    <w:rsid w:val="00D26FBC"/>
    <w:rsid w:val="00D32DDB"/>
    <w:rsid w:val="00D34CE0"/>
    <w:rsid w:val="00D3701F"/>
    <w:rsid w:val="00D51258"/>
    <w:rsid w:val="00D5401A"/>
    <w:rsid w:val="00D54B54"/>
    <w:rsid w:val="00D65F88"/>
    <w:rsid w:val="00D71939"/>
    <w:rsid w:val="00D7235F"/>
    <w:rsid w:val="00D73847"/>
    <w:rsid w:val="00D7621E"/>
    <w:rsid w:val="00D87612"/>
    <w:rsid w:val="00D92063"/>
    <w:rsid w:val="00D93B7C"/>
    <w:rsid w:val="00D94A3A"/>
    <w:rsid w:val="00DA3097"/>
    <w:rsid w:val="00DB03B0"/>
    <w:rsid w:val="00DB26D8"/>
    <w:rsid w:val="00DC62E0"/>
    <w:rsid w:val="00DC67A3"/>
    <w:rsid w:val="00DD0FC0"/>
    <w:rsid w:val="00DF22C7"/>
    <w:rsid w:val="00E0070A"/>
    <w:rsid w:val="00E01FC7"/>
    <w:rsid w:val="00E04B08"/>
    <w:rsid w:val="00E05382"/>
    <w:rsid w:val="00E1245D"/>
    <w:rsid w:val="00E17B55"/>
    <w:rsid w:val="00E212F6"/>
    <w:rsid w:val="00E2265B"/>
    <w:rsid w:val="00E35A4F"/>
    <w:rsid w:val="00E35F9B"/>
    <w:rsid w:val="00E43ACA"/>
    <w:rsid w:val="00E45ACE"/>
    <w:rsid w:val="00E52CA7"/>
    <w:rsid w:val="00E565C6"/>
    <w:rsid w:val="00E61FC3"/>
    <w:rsid w:val="00E66678"/>
    <w:rsid w:val="00E70A1D"/>
    <w:rsid w:val="00E72530"/>
    <w:rsid w:val="00E72935"/>
    <w:rsid w:val="00E74A8B"/>
    <w:rsid w:val="00E74E60"/>
    <w:rsid w:val="00E94693"/>
    <w:rsid w:val="00EB1A7C"/>
    <w:rsid w:val="00EB293D"/>
    <w:rsid w:val="00EC3637"/>
    <w:rsid w:val="00ED057A"/>
    <w:rsid w:val="00ED61CF"/>
    <w:rsid w:val="00EE07BE"/>
    <w:rsid w:val="00EE6CA6"/>
    <w:rsid w:val="00EF6396"/>
    <w:rsid w:val="00F0121D"/>
    <w:rsid w:val="00F035BE"/>
    <w:rsid w:val="00F10E4A"/>
    <w:rsid w:val="00F30304"/>
    <w:rsid w:val="00F33991"/>
    <w:rsid w:val="00F4049B"/>
    <w:rsid w:val="00F4257D"/>
    <w:rsid w:val="00F4354F"/>
    <w:rsid w:val="00F45E34"/>
    <w:rsid w:val="00F46E5D"/>
    <w:rsid w:val="00F56C98"/>
    <w:rsid w:val="00F606EC"/>
    <w:rsid w:val="00F62247"/>
    <w:rsid w:val="00F70ED5"/>
    <w:rsid w:val="00F71A80"/>
    <w:rsid w:val="00F807A0"/>
    <w:rsid w:val="00F816E3"/>
    <w:rsid w:val="00F83E66"/>
    <w:rsid w:val="00F841FD"/>
    <w:rsid w:val="00F96211"/>
    <w:rsid w:val="00FA5F2F"/>
    <w:rsid w:val="00FB4DD5"/>
    <w:rsid w:val="00FB79C6"/>
    <w:rsid w:val="00FC2797"/>
    <w:rsid w:val="00FC746F"/>
    <w:rsid w:val="00FD24F2"/>
    <w:rsid w:val="00FD32B8"/>
    <w:rsid w:val="00FD745B"/>
    <w:rsid w:val="00FE1E91"/>
    <w:rsid w:val="00FE74F9"/>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711DB"/>
  <w15:chartTrackingRefBased/>
  <w15:docId w15:val="{B50C07D3-9E81-49BC-8797-7EC0324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31"/>
    <w:pPr>
      <w:spacing w:before="100" w:after="200" w:line="276" w:lineRule="auto"/>
    </w:pPr>
    <w:rPr>
      <w:rFonts w:eastAsiaTheme="minorEastAsia"/>
      <w:sz w:val="24"/>
      <w:szCs w:val="20"/>
    </w:rPr>
  </w:style>
  <w:style w:type="paragraph" w:styleId="Heading1">
    <w:name w:val="heading 1"/>
    <w:basedOn w:val="Normal"/>
    <w:next w:val="Normal"/>
    <w:link w:val="Heading1Char"/>
    <w:uiPriority w:val="9"/>
    <w:qFormat/>
    <w:rsid w:val="0023388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28"/>
      <w:szCs w:val="22"/>
    </w:rPr>
  </w:style>
  <w:style w:type="paragraph" w:styleId="Heading2">
    <w:name w:val="heading 2"/>
    <w:basedOn w:val="Normal"/>
    <w:next w:val="Normal"/>
    <w:link w:val="Heading2Char"/>
    <w:uiPriority w:val="9"/>
    <w:unhideWhenUsed/>
    <w:qFormat/>
    <w:rsid w:val="0023388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3388C"/>
    <w:pPr>
      <w:pBdr>
        <w:top w:val="single" w:sz="6" w:space="2" w:color="4472C4" w:themeColor="accent1"/>
      </w:pBdr>
      <w:spacing w:before="300" w:after="0"/>
      <w:outlineLvl w:val="2"/>
    </w:pPr>
    <w:rPr>
      <w:b/>
      <w:caps/>
      <w:color w:val="000000" w:themeColor="text1"/>
      <w:spacing w:val="15"/>
    </w:rPr>
  </w:style>
  <w:style w:type="paragraph" w:styleId="Heading4">
    <w:name w:val="heading 4"/>
    <w:basedOn w:val="Normal"/>
    <w:next w:val="Normal"/>
    <w:link w:val="Heading4Char"/>
    <w:uiPriority w:val="9"/>
    <w:semiHidden/>
    <w:unhideWhenUsed/>
    <w:qFormat/>
    <w:rsid w:val="0023388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3388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3388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3388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338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38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8C"/>
    <w:rPr>
      <w:rFonts w:eastAsiaTheme="minorEastAsia"/>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23388C"/>
    <w:rPr>
      <w:rFonts w:eastAsiaTheme="minorEastAsia"/>
      <w:caps/>
      <w:spacing w:val="15"/>
      <w:sz w:val="24"/>
      <w:szCs w:val="20"/>
      <w:shd w:val="clear" w:color="auto" w:fill="D9E2F3" w:themeFill="accent1" w:themeFillTint="33"/>
    </w:rPr>
  </w:style>
  <w:style w:type="character" w:customStyle="1" w:styleId="Heading3Char">
    <w:name w:val="Heading 3 Char"/>
    <w:basedOn w:val="DefaultParagraphFont"/>
    <w:link w:val="Heading3"/>
    <w:uiPriority w:val="9"/>
    <w:rsid w:val="0023388C"/>
    <w:rPr>
      <w:rFonts w:eastAsiaTheme="minorEastAsia"/>
      <w:b/>
      <w:caps/>
      <w:color w:val="000000" w:themeColor="text1"/>
      <w:spacing w:val="15"/>
      <w:sz w:val="24"/>
      <w:szCs w:val="20"/>
    </w:rPr>
  </w:style>
  <w:style w:type="character" w:customStyle="1" w:styleId="Heading4Char">
    <w:name w:val="Heading 4 Char"/>
    <w:basedOn w:val="DefaultParagraphFont"/>
    <w:link w:val="Heading4"/>
    <w:uiPriority w:val="9"/>
    <w:semiHidden/>
    <w:rsid w:val="0023388C"/>
    <w:rPr>
      <w:rFonts w:eastAsiaTheme="minorEastAsia"/>
      <w:caps/>
      <w:color w:val="2F5496" w:themeColor="accent1" w:themeShade="BF"/>
      <w:spacing w:val="10"/>
      <w:sz w:val="24"/>
      <w:szCs w:val="20"/>
    </w:rPr>
  </w:style>
  <w:style w:type="character" w:customStyle="1" w:styleId="Heading5Char">
    <w:name w:val="Heading 5 Char"/>
    <w:basedOn w:val="DefaultParagraphFont"/>
    <w:link w:val="Heading5"/>
    <w:uiPriority w:val="9"/>
    <w:semiHidden/>
    <w:rsid w:val="0023388C"/>
    <w:rPr>
      <w:rFonts w:eastAsiaTheme="minorEastAsia"/>
      <w:caps/>
      <w:color w:val="2F5496" w:themeColor="accent1" w:themeShade="BF"/>
      <w:spacing w:val="10"/>
      <w:sz w:val="24"/>
      <w:szCs w:val="20"/>
    </w:rPr>
  </w:style>
  <w:style w:type="character" w:customStyle="1" w:styleId="Heading6Char">
    <w:name w:val="Heading 6 Char"/>
    <w:basedOn w:val="DefaultParagraphFont"/>
    <w:link w:val="Heading6"/>
    <w:uiPriority w:val="9"/>
    <w:semiHidden/>
    <w:rsid w:val="0023388C"/>
    <w:rPr>
      <w:rFonts w:eastAsiaTheme="minorEastAsia"/>
      <w:caps/>
      <w:color w:val="2F5496" w:themeColor="accent1" w:themeShade="BF"/>
      <w:spacing w:val="10"/>
      <w:sz w:val="24"/>
      <w:szCs w:val="20"/>
    </w:rPr>
  </w:style>
  <w:style w:type="character" w:customStyle="1" w:styleId="Heading7Char">
    <w:name w:val="Heading 7 Char"/>
    <w:basedOn w:val="DefaultParagraphFont"/>
    <w:link w:val="Heading7"/>
    <w:uiPriority w:val="9"/>
    <w:semiHidden/>
    <w:rsid w:val="0023388C"/>
    <w:rPr>
      <w:rFonts w:eastAsiaTheme="minorEastAsia"/>
      <w:caps/>
      <w:color w:val="2F5496" w:themeColor="accent1" w:themeShade="BF"/>
      <w:spacing w:val="10"/>
      <w:sz w:val="24"/>
      <w:szCs w:val="20"/>
    </w:rPr>
  </w:style>
  <w:style w:type="character" w:customStyle="1" w:styleId="Heading8Char">
    <w:name w:val="Heading 8 Char"/>
    <w:basedOn w:val="DefaultParagraphFont"/>
    <w:link w:val="Heading8"/>
    <w:uiPriority w:val="9"/>
    <w:semiHidden/>
    <w:rsid w:val="0023388C"/>
    <w:rPr>
      <w:rFonts w:eastAsiaTheme="minorEastAsia"/>
      <w:caps/>
      <w:spacing w:val="10"/>
      <w:sz w:val="18"/>
      <w:szCs w:val="18"/>
    </w:rPr>
  </w:style>
  <w:style w:type="character" w:customStyle="1" w:styleId="Heading9Char">
    <w:name w:val="Heading 9 Char"/>
    <w:basedOn w:val="DefaultParagraphFont"/>
    <w:link w:val="Heading9"/>
    <w:uiPriority w:val="9"/>
    <w:semiHidden/>
    <w:rsid w:val="0023388C"/>
    <w:rPr>
      <w:rFonts w:eastAsiaTheme="minorEastAsia"/>
      <w:i/>
      <w:iCs/>
      <w:caps/>
      <w:spacing w:val="10"/>
      <w:sz w:val="18"/>
      <w:szCs w:val="18"/>
    </w:rPr>
  </w:style>
  <w:style w:type="paragraph" w:styleId="Caption">
    <w:name w:val="caption"/>
    <w:basedOn w:val="Normal"/>
    <w:next w:val="Normal"/>
    <w:uiPriority w:val="35"/>
    <w:semiHidden/>
    <w:unhideWhenUsed/>
    <w:qFormat/>
    <w:rsid w:val="0023388C"/>
    <w:rPr>
      <w:b/>
      <w:bCs/>
      <w:color w:val="2F5496" w:themeColor="accent1" w:themeShade="BF"/>
      <w:sz w:val="16"/>
      <w:szCs w:val="16"/>
    </w:rPr>
  </w:style>
  <w:style w:type="paragraph" w:styleId="Title">
    <w:name w:val="Title"/>
    <w:basedOn w:val="Normal"/>
    <w:next w:val="Normal"/>
    <w:link w:val="TitleChar"/>
    <w:uiPriority w:val="10"/>
    <w:qFormat/>
    <w:rsid w:val="0023388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3388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3388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388C"/>
    <w:rPr>
      <w:rFonts w:eastAsiaTheme="minorEastAsia"/>
      <w:caps/>
      <w:color w:val="595959" w:themeColor="text1" w:themeTint="A6"/>
      <w:spacing w:val="10"/>
      <w:sz w:val="21"/>
      <w:szCs w:val="21"/>
    </w:rPr>
  </w:style>
  <w:style w:type="character" w:styleId="Strong">
    <w:name w:val="Strong"/>
    <w:uiPriority w:val="22"/>
    <w:qFormat/>
    <w:rsid w:val="0023388C"/>
    <w:rPr>
      <w:b/>
      <w:bCs/>
    </w:rPr>
  </w:style>
  <w:style w:type="character" w:styleId="Emphasis">
    <w:name w:val="Emphasis"/>
    <w:uiPriority w:val="20"/>
    <w:qFormat/>
    <w:rsid w:val="0023388C"/>
    <w:rPr>
      <w:caps/>
      <w:color w:val="1F3763" w:themeColor="accent1" w:themeShade="7F"/>
      <w:spacing w:val="5"/>
    </w:rPr>
  </w:style>
  <w:style w:type="paragraph" w:styleId="NoSpacing">
    <w:name w:val="No Spacing"/>
    <w:uiPriority w:val="1"/>
    <w:qFormat/>
    <w:rsid w:val="0023388C"/>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23388C"/>
    <w:rPr>
      <w:i/>
      <w:iCs/>
      <w:szCs w:val="24"/>
    </w:rPr>
  </w:style>
  <w:style w:type="character" w:customStyle="1" w:styleId="QuoteChar">
    <w:name w:val="Quote Char"/>
    <w:basedOn w:val="DefaultParagraphFont"/>
    <w:link w:val="Quote"/>
    <w:uiPriority w:val="29"/>
    <w:rsid w:val="0023388C"/>
    <w:rPr>
      <w:rFonts w:eastAsiaTheme="minorEastAsia"/>
      <w:i/>
      <w:iCs/>
      <w:sz w:val="24"/>
      <w:szCs w:val="24"/>
    </w:rPr>
  </w:style>
  <w:style w:type="paragraph" w:styleId="IntenseQuote">
    <w:name w:val="Intense Quote"/>
    <w:basedOn w:val="Normal"/>
    <w:next w:val="Normal"/>
    <w:link w:val="IntenseQuoteChar"/>
    <w:uiPriority w:val="30"/>
    <w:qFormat/>
    <w:rsid w:val="0023388C"/>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23388C"/>
    <w:rPr>
      <w:rFonts w:eastAsiaTheme="minorEastAsia"/>
      <w:color w:val="4472C4" w:themeColor="accent1"/>
      <w:sz w:val="24"/>
      <w:szCs w:val="24"/>
    </w:rPr>
  </w:style>
  <w:style w:type="character" w:styleId="SubtleEmphasis">
    <w:name w:val="Subtle Emphasis"/>
    <w:uiPriority w:val="19"/>
    <w:qFormat/>
    <w:rsid w:val="0023388C"/>
    <w:rPr>
      <w:i/>
      <w:iCs/>
      <w:color w:val="1F3763" w:themeColor="accent1" w:themeShade="7F"/>
    </w:rPr>
  </w:style>
  <w:style w:type="character" w:styleId="IntenseEmphasis">
    <w:name w:val="Intense Emphasis"/>
    <w:uiPriority w:val="21"/>
    <w:qFormat/>
    <w:rsid w:val="0023388C"/>
    <w:rPr>
      <w:b/>
      <w:bCs/>
      <w:caps/>
      <w:color w:val="1F3763" w:themeColor="accent1" w:themeShade="7F"/>
      <w:spacing w:val="10"/>
    </w:rPr>
  </w:style>
  <w:style w:type="character" w:styleId="SubtleReference">
    <w:name w:val="Subtle Reference"/>
    <w:uiPriority w:val="31"/>
    <w:qFormat/>
    <w:rsid w:val="0023388C"/>
    <w:rPr>
      <w:b/>
      <w:bCs/>
      <w:color w:val="4472C4" w:themeColor="accent1"/>
    </w:rPr>
  </w:style>
  <w:style w:type="character" w:styleId="IntenseReference">
    <w:name w:val="Intense Reference"/>
    <w:uiPriority w:val="32"/>
    <w:qFormat/>
    <w:rsid w:val="0023388C"/>
    <w:rPr>
      <w:b/>
      <w:bCs/>
      <w:i/>
      <w:iCs/>
      <w:caps/>
      <w:color w:val="4472C4" w:themeColor="accent1"/>
    </w:rPr>
  </w:style>
  <w:style w:type="character" w:styleId="BookTitle">
    <w:name w:val="Book Title"/>
    <w:uiPriority w:val="33"/>
    <w:qFormat/>
    <w:rsid w:val="0023388C"/>
    <w:rPr>
      <w:b/>
      <w:bCs/>
      <w:i/>
      <w:iCs/>
      <w:spacing w:val="0"/>
    </w:rPr>
  </w:style>
  <w:style w:type="paragraph" w:styleId="TOCHeading">
    <w:name w:val="TOC Heading"/>
    <w:basedOn w:val="Heading1"/>
    <w:next w:val="Normal"/>
    <w:uiPriority w:val="39"/>
    <w:unhideWhenUsed/>
    <w:qFormat/>
    <w:rsid w:val="0023388C"/>
    <w:pPr>
      <w:outlineLvl w:val="9"/>
    </w:pPr>
  </w:style>
  <w:style w:type="paragraph" w:styleId="ListParagraph">
    <w:name w:val="List Paragraph"/>
    <w:basedOn w:val="Normal"/>
    <w:uiPriority w:val="34"/>
    <w:qFormat/>
    <w:rsid w:val="0023388C"/>
    <w:pPr>
      <w:ind w:left="720"/>
      <w:contextualSpacing/>
    </w:pPr>
  </w:style>
  <w:style w:type="paragraph" w:styleId="Header">
    <w:name w:val="header"/>
    <w:basedOn w:val="Normal"/>
    <w:link w:val="HeaderChar"/>
    <w:uiPriority w:val="99"/>
    <w:unhideWhenUsed/>
    <w:rsid w:val="002338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388C"/>
    <w:rPr>
      <w:rFonts w:eastAsiaTheme="minorEastAsia"/>
      <w:sz w:val="24"/>
      <w:szCs w:val="20"/>
    </w:rPr>
  </w:style>
  <w:style w:type="paragraph" w:styleId="Footer">
    <w:name w:val="footer"/>
    <w:basedOn w:val="Normal"/>
    <w:link w:val="FooterChar"/>
    <w:uiPriority w:val="99"/>
    <w:unhideWhenUsed/>
    <w:rsid w:val="002338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388C"/>
    <w:rPr>
      <w:rFonts w:eastAsiaTheme="minorEastAsia"/>
      <w:sz w:val="24"/>
      <w:szCs w:val="20"/>
    </w:rPr>
  </w:style>
  <w:style w:type="paragraph" w:styleId="TOC3">
    <w:name w:val="toc 3"/>
    <w:basedOn w:val="Normal"/>
    <w:next w:val="Normal"/>
    <w:autoRedefine/>
    <w:uiPriority w:val="39"/>
    <w:unhideWhenUsed/>
    <w:rsid w:val="001442CB"/>
    <w:pPr>
      <w:tabs>
        <w:tab w:val="right" w:leader="dot" w:pos="9350"/>
      </w:tabs>
      <w:spacing w:after="100"/>
      <w:ind w:left="480"/>
    </w:pPr>
    <w:rPr>
      <w:caps/>
      <w:noProof/>
    </w:rPr>
  </w:style>
  <w:style w:type="paragraph" w:styleId="TOC1">
    <w:name w:val="toc 1"/>
    <w:basedOn w:val="Normal"/>
    <w:next w:val="Normal"/>
    <w:autoRedefine/>
    <w:uiPriority w:val="39"/>
    <w:unhideWhenUsed/>
    <w:rsid w:val="0023388C"/>
    <w:pPr>
      <w:spacing w:after="100"/>
    </w:pPr>
  </w:style>
  <w:style w:type="character" w:styleId="Hyperlink">
    <w:name w:val="Hyperlink"/>
    <w:basedOn w:val="DefaultParagraphFont"/>
    <w:uiPriority w:val="99"/>
    <w:unhideWhenUsed/>
    <w:rsid w:val="0023388C"/>
    <w:rPr>
      <w:color w:val="0563C1" w:themeColor="hyperlink"/>
      <w:u w:val="single"/>
    </w:rPr>
  </w:style>
  <w:style w:type="table" w:styleId="TableGrid">
    <w:name w:val="Table Grid"/>
    <w:basedOn w:val="TableNormal"/>
    <w:uiPriority w:val="39"/>
    <w:rsid w:val="0023388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23388C"/>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23388C"/>
    <w:rPr>
      <w:color w:val="808080"/>
      <w:shd w:val="clear" w:color="auto" w:fill="E6E6E6"/>
    </w:rPr>
  </w:style>
  <w:style w:type="paragraph" w:styleId="TOC2">
    <w:name w:val="toc 2"/>
    <w:basedOn w:val="Normal"/>
    <w:next w:val="Normal"/>
    <w:autoRedefine/>
    <w:uiPriority w:val="39"/>
    <w:unhideWhenUsed/>
    <w:rsid w:val="0023388C"/>
    <w:pPr>
      <w:spacing w:before="0" w:after="100" w:line="259" w:lineRule="auto"/>
      <w:ind w:left="220"/>
    </w:pPr>
    <w:rPr>
      <w:sz w:val="22"/>
      <w:szCs w:val="22"/>
    </w:rPr>
  </w:style>
  <w:style w:type="paragraph" w:styleId="TOC4">
    <w:name w:val="toc 4"/>
    <w:basedOn w:val="Normal"/>
    <w:next w:val="Normal"/>
    <w:autoRedefine/>
    <w:uiPriority w:val="39"/>
    <w:unhideWhenUsed/>
    <w:rsid w:val="0023388C"/>
    <w:pPr>
      <w:spacing w:before="0" w:after="100" w:line="259" w:lineRule="auto"/>
      <w:ind w:left="660"/>
    </w:pPr>
    <w:rPr>
      <w:sz w:val="22"/>
      <w:szCs w:val="22"/>
    </w:rPr>
  </w:style>
  <w:style w:type="paragraph" w:styleId="TOC5">
    <w:name w:val="toc 5"/>
    <w:basedOn w:val="Normal"/>
    <w:next w:val="Normal"/>
    <w:autoRedefine/>
    <w:uiPriority w:val="39"/>
    <w:unhideWhenUsed/>
    <w:rsid w:val="0023388C"/>
    <w:pPr>
      <w:spacing w:before="0" w:after="100" w:line="259" w:lineRule="auto"/>
      <w:ind w:left="880"/>
    </w:pPr>
    <w:rPr>
      <w:sz w:val="22"/>
      <w:szCs w:val="22"/>
    </w:rPr>
  </w:style>
  <w:style w:type="paragraph" w:styleId="TOC6">
    <w:name w:val="toc 6"/>
    <w:basedOn w:val="Normal"/>
    <w:next w:val="Normal"/>
    <w:autoRedefine/>
    <w:uiPriority w:val="39"/>
    <w:unhideWhenUsed/>
    <w:rsid w:val="0023388C"/>
    <w:pPr>
      <w:spacing w:before="0" w:after="100" w:line="259" w:lineRule="auto"/>
      <w:ind w:left="1100"/>
    </w:pPr>
    <w:rPr>
      <w:sz w:val="22"/>
      <w:szCs w:val="22"/>
    </w:rPr>
  </w:style>
  <w:style w:type="paragraph" w:styleId="TOC7">
    <w:name w:val="toc 7"/>
    <w:basedOn w:val="Normal"/>
    <w:next w:val="Normal"/>
    <w:autoRedefine/>
    <w:uiPriority w:val="39"/>
    <w:unhideWhenUsed/>
    <w:rsid w:val="0023388C"/>
    <w:pPr>
      <w:spacing w:before="0" w:after="100" w:line="259" w:lineRule="auto"/>
      <w:ind w:left="1320"/>
    </w:pPr>
    <w:rPr>
      <w:sz w:val="22"/>
      <w:szCs w:val="22"/>
    </w:rPr>
  </w:style>
  <w:style w:type="paragraph" w:styleId="TOC8">
    <w:name w:val="toc 8"/>
    <w:basedOn w:val="Normal"/>
    <w:next w:val="Normal"/>
    <w:autoRedefine/>
    <w:uiPriority w:val="39"/>
    <w:unhideWhenUsed/>
    <w:rsid w:val="0023388C"/>
    <w:pPr>
      <w:spacing w:before="0" w:after="100" w:line="259" w:lineRule="auto"/>
      <w:ind w:left="1540"/>
    </w:pPr>
    <w:rPr>
      <w:sz w:val="22"/>
      <w:szCs w:val="22"/>
    </w:rPr>
  </w:style>
  <w:style w:type="paragraph" w:styleId="TOC9">
    <w:name w:val="toc 9"/>
    <w:basedOn w:val="Normal"/>
    <w:next w:val="Normal"/>
    <w:autoRedefine/>
    <w:uiPriority w:val="39"/>
    <w:unhideWhenUsed/>
    <w:rsid w:val="0023388C"/>
    <w:pPr>
      <w:spacing w:before="0" w:after="100" w:line="259" w:lineRule="auto"/>
      <w:ind w:left="1760"/>
    </w:pPr>
    <w:rPr>
      <w:sz w:val="22"/>
      <w:szCs w:val="22"/>
    </w:rPr>
  </w:style>
  <w:style w:type="paragraph" w:styleId="BalloonText">
    <w:name w:val="Balloon Text"/>
    <w:basedOn w:val="Normal"/>
    <w:link w:val="BalloonTextChar"/>
    <w:uiPriority w:val="99"/>
    <w:semiHidden/>
    <w:unhideWhenUsed/>
    <w:rsid w:val="002338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8C"/>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23388C"/>
    <w:rPr>
      <w:color w:val="808080"/>
      <w:shd w:val="clear" w:color="auto" w:fill="E6E6E6"/>
    </w:rPr>
  </w:style>
  <w:style w:type="paragraph" w:styleId="Revision">
    <w:name w:val="Revision"/>
    <w:hidden/>
    <w:uiPriority w:val="99"/>
    <w:semiHidden/>
    <w:rsid w:val="00816DAC"/>
    <w:pPr>
      <w:spacing w:after="0" w:line="240" w:lineRule="auto"/>
    </w:pPr>
    <w:rPr>
      <w:rFonts w:eastAsiaTheme="minorEastAsia"/>
      <w:sz w:val="24"/>
      <w:szCs w:val="20"/>
    </w:rPr>
  </w:style>
  <w:style w:type="paragraph" w:styleId="Bibliography">
    <w:name w:val="Bibliography"/>
    <w:basedOn w:val="Normal"/>
    <w:next w:val="Normal"/>
    <w:uiPriority w:val="37"/>
    <w:semiHidden/>
    <w:unhideWhenUsed/>
    <w:rsid w:val="00634CA8"/>
  </w:style>
  <w:style w:type="paragraph" w:styleId="BlockText">
    <w:name w:val="Block Text"/>
    <w:basedOn w:val="Normal"/>
    <w:uiPriority w:val="99"/>
    <w:semiHidden/>
    <w:unhideWhenUsed/>
    <w:rsid w:val="00634CA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unhideWhenUsed/>
    <w:rsid w:val="00634CA8"/>
    <w:pPr>
      <w:spacing w:after="120"/>
    </w:pPr>
  </w:style>
  <w:style w:type="character" w:customStyle="1" w:styleId="BodyTextChar">
    <w:name w:val="Body Text Char"/>
    <w:basedOn w:val="DefaultParagraphFont"/>
    <w:link w:val="BodyText"/>
    <w:uiPriority w:val="99"/>
    <w:rsid w:val="00634CA8"/>
    <w:rPr>
      <w:rFonts w:eastAsiaTheme="minorEastAsia"/>
      <w:sz w:val="24"/>
      <w:szCs w:val="20"/>
    </w:rPr>
  </w:style>
  <w:style w:type="paragraph" w:styleId="BodyText2">
    <w:name w:val="Body Text 2"/>
    <w:basedOn w:val="Normal"/>
    <w:link w:val="BodyText2Char"/>
    <w:uiPriority w:val="99"/>
    <w:unhideWhenUsed/>
    <w:rsid w:val="00634CA8"/>
    <w:pPr>
      <w:spacing w:after="120" w:line="480" w:lineRule="auto"/>
    </w:pPr>
  </w:style>
  <w:style w:type="character" w:customStyle="1" w:styleId="BodyText2Char">
    <w:name w:val="Body Text 2 Char"/>
    <w:basedOn w:val="DefaultParagraphFont"/>
    <w:link w:val="BodyText2"/>
    <w:uiPriority w:val="99"/>
    <w:rsid w:val="00634CA8"/>
    <w:rPr>
      <w:rFonts w:eastAsiaTheme="minorEastAsia"/>
      <w:sz w:val="24"/>
      <w:szCs w:val="20"/>
    </w:rPr>
  </w:style>
  <w:style w:type="paragraph" w:styleId="BodyText3">
    <w:name w:val="Body Text 3"/>
    <w:basedOn w:val="Normal"/>
    <w:link w:val="BodyText3Char"/>
    <w:uiPriority w:val="99"/>
    <w:semiHidden/>
    <w:unhideWhenUsed/>
    <w:rsid w:val="00634CA8"/>
    <w:pPr>
      <w:spacing w:after="120"/>
    </w:pPr>
    <w:rPr>
      <w:sz w:val="16"/>
      <w:szCs w:val="16"/>
    </w:rPr>
  </w:style>
  <w:style w:type="character" w:customStyle="1" w:styleId="BodyText3Char">
    <w:name w:val="Body Text 3 Char"/>
    <w:basedOn w:val="DefaultParagraphFont"/>
    <w:link w:val="BodyText3"/>
    <w:uiPriority w:val="99"/>
    <w:semiHidden/>
    <w:rsid w:val="00634CA8"/>
    <w:rPr>
      <w:rFonts w:eastAsiaTheme="minorEastAsia"/>
      <w:sz w:val="16"/>
      <w:szCs w:val="16"/>
    </w:rPr>
  </w:style>
  <w:style w:type="paragraph" w:styleId="BodyTextFirstIndent">
    <w:name w:val="Body Text First Indent"/>
    <w:basedOn w:val="BodyText"/>
    <w:link w:val="BodyTextFirstIndentChar"/>
    <w:uiPriority w:val="99"/>
    <w:semiHidden/>
    <w:unhideWhenUsed/>
    <w:rsid w:val="00634CA8"/>
    <w:pPr>
      <w:spacing w:after="200"/>
      <w:ind w:firstLine="360"/>
    </w:pPr>
  </w:style>
  <w:style w:type="character" w:customStyle="1" w:styleId="BodyTextFirstIndentChar">
    <w:name w:val="Body Text First Indent Char"/>
    <w:basedOn w:val="BodyTextChar"/>
    <w:link w:val="BodyTextFirstIndent"/>
    <w:uiPriority w:val="99"/>
    <w:semiHidden/>
    <w:rsid w:val="00634CA8"/>
    <w:rPr>
      <w:rFonts w:eastAsiaTheme="minorEastAsia"/>
      <w:sz w:val="24"/>
      <w:szCs w:val="20"/>
    </w:rPr>
  </w:style>
  <w:style w:type="paragraph" w:styleId="BodyTextIndent">
    <w:name w:val="Body Text Indent"/>
    <w:basedOn w:val="Normal"/>
    <w:link w:val="BodyTextIndentChar"/>
    <w:uiPriority w:val="99"/>
    <w:semiHidden/>
    <w:unhideWhenUsed/>
    <w:rsid w:val="00634CA8"/>
    <w:pPr>
      <w:spacing w:after="120"/>
      <w:ind w:left="360"/>
    </w:pPr>
  </w:style>
  <w:style w:type="character" w:customStyle="1" w:styleId="BodyTextIndentChar">
    <w:name w:val="Body Text Indent Char"/>
    <w:basedOn w:val="DefaultParagraphFont"/>
    <w:link w:val="BodyTextIndent"/>
    <w:uiPriority w:val="99"/>
    <w:semiHidden/>
    <w:rsid w:val="00634CA8"/>
    <w:rPr>
      <w:rFonts w:eastAsiaTheme="minorEastAsia"/>
      <w:sz w:val="24"/>
      <w:szCs w:val="20"/>
    </w:rPr>
  </w:style>
  <w:style w:type="paragraph" w:styleId="BodyTextFirstIndent2">
    <w:name w:val="Body Text First Indent 2"/>
    <w:basedOn w:val="BodyTextIndent"/>
    <w:link w:val="BodyTextFirstIndent2Char"/>
    <w:uiPriority w:val="99"/>
    <w:semiHidden/>
    <w:unhideWhenUsed/>
    <w:rsid w:val="00634CA8"/>
    <w:pPr>
      <w:spacing w:after="200"/>
      <w:ind w:firstLine="360"/>
    </w:pPr>
  </w:style>
  <w:style w:type="character" w:customStyle="1" w:styleId="BodyTextFirstIndent2Char">
    <w:name w:val="Body Text First Indent 2 Char"/>
    <w:basedOn w:val="BodyTextIndentChar"/>
    <w:link w:val="BodyTextFirstIndent2"/>
    <w:uiPriority w:val="99"/>
    <w:semiHidden/>
    <w:rsid w:val="00634CA8"/>
    <w:rPr>
      <w:rFonts w:eastAsiaTheme="minorEastAsia"/>
      <w:sz w:val="24"/>
      <w:szCs w:val="20"/>
    </w:rPr>
  </w:style>
  <w:style w:type="paragraph" w:styleId="BodyTextIndent2">
    <w:name w:val="Body Text Indent 2"/>
    <w:basedOn w:val="Normal"/>
    <w:link w:val="BodyTextIndent2Char"/>
    <w:uiPriority w:val="99"/>
    <w:semiHidden/>
    <w:unhideWhenUsed/>
    <w:rsid w:val="00634CA8"/>
    <w:pPr>
      <w:spacing w:after="120" w:line="480" w:lineRule="auto"/>
      <w:ind w:left="360"/>
    </w:pPr>
  </w:style>
  <w:style w:type="character" w:customStyle="1" w:styleId="BodyTextIndent2Char">
    <w:name w:val="Body Text Indent 2 Char"/>
    <w:basedOn w:val="DefaultParagraphFont"/>
    <w:link w:val="BodyTextIndent2"/>
    <w:uiPriority w:val="99"/>
    <w:semiHidden/>
    <w:rsid w:val="00634CA8"/>
    <w:rPr>
      <w:rFonts w:eastAsiaTheme="minorEastAsia"/>
      <w:sz w:val="24"/>
      <w:szCs w:val="20"/>
    </w:rPr>
  </w:style>
  <w:style w:type="paragraph" w:styleId="BodyTextIndent3">
    <w:name w:val="Body Text Indent 3"/>
    <w:basedOn w:val="Normal"/>
    <w:link w:val="BodyTextIndent3Char"/>
    <w:uiPriority w:val="99"/>
    <w:semiHidden/>
    <w:unhideWhenUsed/>
    <w:rsid w:val="00634C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4CA8"/>
    <w:rPr>
      <w:rFonts w:eastAsiaTheme="minorEastAsia"/>
      <w:sz w:val="16"/>
      <w:szCs w:val="16"/>
    </w:rPr>
  </w:style>
  <w:style w:type="paragraph" w:styleId="Closing">
    <w:name w:val="Closing"/>
    <w:basedOn w:val="Normal"/>
    <w:link w:val="ClosingChar"/>
    <w:uiPriority w:val="99"/>
    <w:semiHidden/>
    <w:unhideWhenUsed/>
    <w:rsid w:val="00634CA8"/>
    <w:pPr>
      <w:spacing w:before="0" w:after="0" w:line="240" w:lineRule="auto"/>
      <w:ind w:left="4320"/>
    </w:pPr>
  </w:style>
  <w:style w:type="character" w:customStyle="1" w:styleId="ClosingChar">
    <w:name w:val="Closing Char"/>
    <w:basedOn w:val="DefaultParagraphFont"/>
    <w:link w:val="Closing"/>
    <w:uiPriority w:val="99"/>
    <w:semiHidden/>
    <w:rsid w:val="00634CA8"/>
    <w:rPr>
      <w:rFonts w:eastAsiaTheme="minorEastAsia"/>
      <w:sz w:val="24"/>
      <w:szCs w:val="20"/>
    </w:rPr>
  </w:style>
  <w:style w:type="paragraph" w:styleId="CommentText">
    <w:name w:val="annotation text"/>
    <w:basedOn w:val="Normal"/>
    <w:link w:val="CommentTextChar"/>
    <w:uiPriority w:val="99"/>
    <w:unhideWhenUsed/>
    <w:rsid w:val="00634CA8"/>
    <w:pPr>
      <w:spacing w:line="240" w:lineRule="auto"/>
    </w:pPr>
    <w:rPr>
      <w:sz w:val="20"/>
    </w:rPr>
  </w:style>
  <w:style w:type="character" w:customStyle="1" w:styleId="CommentTextChar">
    <w:name w:val="Comment Text Char"/>
    <w:basedOn w:val="DefaultParagraphFont"/>
    <w:link w:val="CommentText"/>
    <w:uiPriority w:val="99"/>
    <w:rsid w:val="00634CA8"/>
    <w:rPr>
      <w:rFonts w:eastAsiaTheme="minorEastAsia"/>
      <w:sz w:val="20"/>
      <w:szCs w:val="20"/>
    </w:rPr>
  </w:style>
  <w:style w:type="paragraph" w:styleId="CommentSubject">
    <w:name w:val="annotation subject"/>
    <w:basedOn w:val="CommentText"/>
    <w:next w:val="CommentText"/>
    <w:link w:val="CommentSubjectChar"/>
    <w:uiPriority w:val="99"/>
    <w:unhideWhenUsed/>
    <w:rsid w:val="00634CA8"/>
    <w:rPr>
      <w:b/>
      <w:bCs/>
    </w:rPr>
  </w:style>
  <w:style w:type="character" w:customStyle="1" w:styleId="CommentSubjectChar">
    <w:name w:val="Comment Subject Char"/>
    <w:basedOn w:val="CommentTextChar"/>
    <w:link w:val="CommentSubject"/>
    <w:uiPriority w:val="99"/>
    <w:rsid w:val="00634CA8"/>
    <w:rPr>
      <w:rFonts w:eastAsiaTheme="minorEastAsia"/>
      <w:b/>
      <w:bCs/>
      <w:sz w:val="20"/>
      <w:szCs w:val="20"/>
    </w:rPr>
  </w:style>
  <w:style w:type="paragraph" w:styleId="Date">
    <w:name w:val="Date"/>
    <w:basedOn w:val="Normal"/>
    <w:next w:val="Normal"/>
    <w:link w:val="DateChar"/>
    <w:uiPriority w:val="99"/>
    <w:semiHidden/>
    <w:unhideWhenUsed/>
    <w:rsid w:val="00634CA8"/>
  </w:style>
  <w:style w:type="character" w:customStyle="1" w:styleId="DateChar">
    <w:name w:val="Date Char"/>
    <w:basedOn w:val="DefaultParagraphFont"/>
    <w:link w:val="Date"/>
    <w:uiPriority w:val="99"/>
    <w:semiHidden/>
    <w:rsid w:val="00634CA8"/>
    <w:rPr>
      <w:rFonts w:eastAsiaTheme="minorEastAsia"/>
      <w:sz w:val="24"/>
      <w:szCs w:val="20"/>
    </w:rPr>
  </w:style>
  <w:style w:type="paragraph" w:styleId="DocumentMap">
    <w:name w:val="Document Map"/>
    <w:basedOn w:val="Normal"/>
    <w:link w:val="DocumentMapChar"/>
    <w:uiPriority w:val="99"/>
    <w:semiHidden/>
    <w:unhideWhenUsed/>
    <w:rsid w:val="00634CA8"/>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4CA8"/>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634CA8"/>
    <w:pPr>
      <w:spacing w:before="0" w:after="0" w:line="240" w:lineRule="auto"/>
    </w:pPr>
  </w:style>
  <w:style w:type="character" w:customStyle="1" w:styleId="E-mailSignatureChar">
    <w:name w:val="E-mail Signature Char"/>
    <w:basedOn w:val="DefaultParagraphFont"/>
    <w:link w:val="E-mailSignature"/>
    <w:uiPriority w:val="99"/>
    <w:semiHidden/>
    <w:rsid w:val="00634CA8"/>
    <w:rPr>
      <w:rFonts w:eastAsiaTheme="minorEastAsia"/>
      <w:sz w:val="24"/>
      <w:szCs w:val="20"/>
    </w:rPr>
  </w:style>
  <w:style w:type="paragraph" w:styleId="EndnoteText">
    <w:name w:val="endnote text"/>
    <w:basedOn w:val="Normal"/>
    <w:link w:val="EndnoteTextChar"/>
    <w:uiPriority w:val="99"/>
    <w:semiHidden/>
    <w:unhideWhenUsed/>
    <w:rsid w:val="00634CA8"/>
    <w:pPr>
      <w:spacing w:before="0" w:after="0" w:line="240" w:lineRule="auto"/>
    </w:pPr>
    <w:rPr>
      <w:sz w:val="20"/>
    </w:rPr>
  </w:style>
  <w:style w:type="character" w:customStyle="1" w:styleId="EndnoteTextChar">
    <w:name w:val="Endnote Text Char"/>
    <w:basedOn w:val="DefaultParagraphFont"/>
    <w:link w:val="EndnoteText"/>
    <w:uiPriority w:val="99"/>
    <w:semiHidden/>
    <w:rsid w:val="00634CA8"/>
    <w:rPr>
      <w:rFonts w:eastAsiaTheme="minorEastAsia"/>
      <w:sz w:val="20"/>
      <w:szCs w:val="20"/>
    </w:rPr>
  </w:style>
  <w:style w:type="paragraph" w:styleId="EnvelopeAddress">
    <w:name w:val="envelope address"/>
    <w:basedOn w:val="Normal"/>
    <w:uiPriority w:val="99"/>
    <w:semiHidden/>
    <w:unhideWhenUsed/>
    <w:rsid w:val="00634CA8"/>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34CA8"/>
    <w:pPr>
      <w:spacing w:before="0"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634CA8"/>
    <w:pPr>
      <w:spacing w:before="0" w:after="0" w:line="240" w:lineRule="auto"/>
    </w:pPr>
    <w:rPr>
      <w:sz w:val="20"/>
    </w:rPr>
  </w:style>
  <w:style w:type="character" w:customStyle="1" w:styleId="FootnoteTextChar">
    <w:name w:val="Footnote Text Char"/>
    <w:basedOn w:val="DefaultParagraphFont"/>
    <w:link w:val="FootnoteText"/>
    <w:uiPriority w:val="99"/>
    <w:semiHidden/>
    <w:rsid w:val="00634CA8"/>
    <w:rPr>
      <w:rFonts w:eastAsiaTheme="minorEastAsia"/>
      <w:sz w:val="20"/>
      <w:szCs w:val="20"/>
    </w:rPr>
  </w:style>
  <w:style w:type="paragraph" w:styleId="HTMLAddress">
    <w:name w:val="HTML Address"/>
    <w:basedOn w:val="Normal"/>
    <w:link w:val="HTMLAddressChar"/>
    <w:uiPriority w:val="99"/>
    <w:semiHidden/>
    <w:unhideWhenUsed/>
    <w:rsid w:val="00634CA8"/>
    <w:pPr>
      <w:spacing w:before="0" w:after="0" w:line="240" w:lineRule="auto"/>
    </w:pPr>
    <w:rPr>
      <w:i/>
      <w:iCs/>
    </w:rPr>
  </w:style>
  <w:style w:type="character" w:customStyle="1" w:styleId="HTMLAddressChar">
    <w:name w:val="HTML Address Char"/>
    <w:basedOn w:val="DefaultParagraphFont"/>
    <w:link w:val="HTMLAddress"/>
    <w:uiPriority w:val="99"/>
    <w:semiHidden/>
    <w:rsid w:val="00634CA8"/>
    <w:rPr>
      <w:rFonts w:eastAsiaTheme="minorEastAsia"/>
      <w:i/>
      <w:iCs/>
      <w:sz w:val="24"/>
      <w:szCs w:val="20"/>
    </w:rPr>
  </w:style>
  <w:style w:type="paragraph" w:styleId="HTMLPreformatted">
    <w:name w:val="HTML Preformatted"/>
    <w:basedOn w:val="Normal"/>
    <w:link w:val="HTMLPreformattedChar"/>
    <w:uiPriority w:val="99"/>
    <w:semiHidden/>
    <w:unhideWhenUsed/>
    <w:rsid w:val="00634CA8"/>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634CA8"/>
    <w:rPr>
      <w:rFonts w:ascii="Consolas" w:eastAsiaTheme="minorEastAsia" w:hAnsi="Consolas"/>
      <w:sz w:val="20"/>
      <w:szCs w:val="20"/>
    </w:rPr>
  </w:style>
  <w:style w:type="paragraph" w:styleId="Index1">
    <w:name w:val="index 1"/>
    <w:basedOn w:val="Normal"/>
    <w:next w:val="Normal"/>
    <w:autoRedefine/>
    <w:uiPriority w:val="99"/>
    <w:semiHidden/>
    <w:unhideWhenUsed/>
    <w:rsid w:val="00634CA8"/>
    <w:pPr>
      <w:spacing w:before="0" w:after="0" w:line="240" w:lineRule="auto"/>
      <w:ind w:left="240" w:hanging="240"/>
    </w:pPr>
  </w:style>
  <w:style w:type="paragraph" w:styleId="Index2">
    <w:name w:val="index 2"/>
    <w:basedOn w:val="Normal"/>
    <w:next w:val="Normal"/>
    <w:autoRedefine/>
    <w:uiPriority w:val="99"/>
    <w:semiHidden/>
    <w:unhideWhenUsed/>
    <w:rsid w:val="00634CA8"/>
    <w:pPr>
      <w:spacing w:before="0" w:after="0" w:line="240" w:lineRule="auto"/>
      <w:ind w:left="480" w:hanging="240"/>
    </w:pPr>
  </w:style>
  <w:style w:type="paragraph" w:styleId="Index3">
    <w:name w:val="index 3"/>
    <w:basedOn w:val="Normal"/>
    <w:next w:val="Normal"/>
    <w:autoRedefine/>
    <w:uiPriority w:val="99"/>
    <w:semiHidden/>
    <w:unhideWhenUsed/>
    <w:rsid w:val="00634CA8"/>
    <w:pPr>
      <w:spacing w:before="0" w:after="0" w:line="240" w:lineRule="auto"/>
      <w:ind w:left="720" w:hanging="240"/>
    </w:pPr>
  </w:style>
  <w:style w:type="paragraph" w:styleId="Index4">
    <w:name w:val="index 4"/>
    <w:basedOn w:val="Normal"/>
    <w:next w:val="Normal"/>
    <w:autoRedefine/>
    <w:uiPriority w:val="99"/>
    <w:semiHidden/>
    <w:unhideWhenUsed/>
    <w:rsid w:val="00634CA8"/>
    <w:pPr>
      <w:spacing w:before="0" w:after="0" w:line="240" w:lineRule="auto"/>
      <w:ind w:left="960" w:hanging="240"/>
    </w:pPr>
  </w:style>
  <w:style w:type="paragraph" w:styleId="Index5">
    <w:name w:val="index 5"/>
    <w:basedOn w:val="Normal"/>
    <w:next w:val="Normal"/>
    <w:autoRedefine/>
    <w:uiPriority w:val="99"/>
    <w:semiHidden/>
    <w:unhideWhenUsed/>
    <w:rsid w:val="00634CA8"/>
    <w:pPr>
      <w:spacing w:before="0" w:after="0" w:line="240" w:lineRule="auto"/>
      <w:ind w:left="1200" w:hanging="240"/>
    </w:pPr>
  </w:style>
  <w:style w:type="paragraph" w:styleId="Index6">
    <w:name w:val="index 6"/>
    <w:basedOn w:val="Normal"/>
    <w:next w:val="Normal"/>
    <w:autoRedefine/>
    <w:uiPriority w:val="99"/>
    <w:semiHidden/>
    <w:unhideWhenUsed/>
    <w:rsid w:val="00634CA8"/>
    <w:pPr>
      <w:spacing w:before="0" w:after="0" w:line="240" w:lineRule="auto"/>
      <w:ind w:left="1440" w:hanging="240"/>
    </w:pPr>
  </w:style>
  <w:style w:type="paragraph" w:styleId="Index7">
    <w:name w:val="index 7"/>
    <w:basedOn w:val="Normal"/>
    <w:next w:val="Normal"/>
    <w:autoRedefine/>
    <w:uiPriority w:val="99"/>
    <w:semiHidden/>
    <w:unhideWhenUsed/>
    <w:rsid w:val="00634CA8"/>
    <w:pPr>
      <w:spacing w:before="0" w:after="0" w:line="240" w:lineRule="auto"/>
      <w:ind w:left="1680" w:hanging="240"/>
    </w:pPr>
  </w:style>
  <w:style w:type="paragraph" w:styleId="Index8">
    <w:name w:val="index 8"/>
    <w:basedOn w:val="Normal"/>
    <w:next w:val="Normal"/>
    <w:autoRedefine/>
    <w:uiPriority w:val="99"/>
    <w:semiHidden/>
    <w:unhideWhenUsed/>
    <w:rsid w:val="00634CA8"/>
    <w:pPr>
      <w:spacing w:before="0" w:after="0" w:line="240" w:lineRule="auto"/>
      <w:ind w:left="1920" w:hanging="240"/>
    </w:pPr>
  </w:style>
  <w:style w:type="paragraph" w:styleId="Index9">
    <w:name w:val="index 9"/>
    <w:basedOn w:val="Normal"/>
    <w:next w:val="Normal"/>
    <w:autoRedefine/>
    <w:uiPriority w:val="99"/>
    <w:semiHidden/>
    <w:unhideWhenUsed/>
    <w:rsid w:val="00634CA8"/>
    <w:pPr>
      <w:spacing w:before="0" w:after="0" w:line="240" w:lineRule="auto"/>
      <w:ind w:left="2160" w:hanging="240"/>
    </w:pPr>
  </w:style>
  <w:style w:type="paragraph" w:styleId="IndexHeading">
    <w:name w:val="index heading"/>
    <w:basedOn w:val="Normal"/>
    <w:next w:val="Index1"/>
    <w:uiPriority w:val="99"/>
    <w:semiHidden/>
    <w:unhideWhenUsed/>
    <w:rsid w:val="00634CA8"/>
    <w:rPr>
      <w:rFonts w:asciiTheme="majorHAnsi" w:eastAsiaTheme="majorEastAsia" w:hAnsiTheme="majorHAnsi" w:cstheme="majorBidi"/>
      <w:b/>
      <w:bCs/>
    </w:rPr>
  </w:style>
  <w:style w:type="paragraph" w:styleId="List">
    <w:name w:val="List"/>
    <w:basedOn w:val="Normal"/>
    <w:uiPriority w:val="99"/>
    <w:semiHidden/>
    <w:unhideWhenUsed/>
    <w:rsid w:val="00634CA8"/>
    <w:pPr>
      <w:ind w:left="360" w:hanging="360"/>
      <w:contextualSpacing/>
    </w:pPr>
  </w:style>
  <w:style w:type="paragraph" w:styleId="List2">
    <w:name w:val="List 2"/>
    <w:basedOn w:val="Normal"/>
    <w:uiPriority w:val="99"/>
    <w:semiHidden/>
    <w:unhideWhenUsed/>
    <w:rsid w:val="00634CA8"/>
    <w:pPr>
      <w:ind w:left="720" w:hanging="360"/>
      <w:contextualSpacing/>
    </w:pPr>
  </w:style>
  <w:style w:type="paragraph" w:styleId="List3">
    <w:name w:val="List 3"/>
    <w:basedOn w:val="Normal"/>
    <w:uiPriority w:val="99"/>
    <w:semiHidden/>
    <w:unhideWhenUsed/>
    <w:rsid w:val="00634CA8"/>
    <w:pPr>
      <w:ind w:left="1080" w:hanging="360"/>
      <w:contextualSpacing/>
    </w:pPr>
  </w:style>
  <w:style w:type="paragraph" w:styleId="List4">
    <w:name w:val="List 4"/>
    <w:basedOn w:val="Normal"/>
    <w:uiPriority w:val="99"/>
    <w:semiHidden/>
    <w:unhideWhenUsed/>
    <w:rsid w:val="00634CA8"/>
    <w:pPr>
      <w:ind w:left="1440" w:hanging="360"/>
      <w:contextualSpacing/>
    </w:pPr>
  </w:style>
  <w:style w:type="paragraph" w:styleId="List5">
    <w:name w:val="List 5"/>
    <w:basedOn w:val="Normal"/>
    <w:uiPriority w:val="99"/>
    <w:semiHidden/>
    <w:unhideWhenUsed/>
    <w:rsid w:val="00634CA8"/>
    <w:pPr>
      <w:ind w:left="1800" w:hanging="360"/>
      <w:contextualSpacing/>
    </w:pPr>
  </w:style>
  <w:style w:type="paragraph" w:styleId="ListBullet">
    <w:name w:val="List Bullet"/>
    <w:basedOn w:val="Normal"/>
    <w:uiPriority w:val="99"/>
    <w:semiHidden/>
    <w:unhideWhenUsed/>
    <w:rsid w:val="00634CA8"/>
    <w:pPr>
      <w:numPr>
        <w:numId w:val="1"/>
      </w:numPr>
      <w:contextualSpacing/>
    </w:pPr>
  </w:style>
  <w:style w:type="paragraph" w:styleId="ListBullet2">
    <w:name w:val="List Bullet 2"/>
    <w:basedOn w:val="Normal"/>
    <w:uiPriority w:val="99"/>
    <w:semiHidden/>
    <w:unhideWhenUsed/>
    <w:rsid w:val="00634CA8"/>
    <w:pPr>
      <w:numPr>
        <w:numId w:val="2"/>
      </w:numPr>
      <w:contextualSpacing/>
    </w:pPr>
  </w:style>
  <w:style w:type="paragraph" w:styleId="ListBullet3">
    <w:name w:val="List Bullet 3"/>
    <w:basedOn w:val="Normal"/>
    <w:uiPriority w:val="99"/>
    <w:semiHidden/>
    <w:unhideWhenUsed/>
    <w:rsid w:val="00634CA8"/>
    <w:pPr>
      <w:numPr>
        <w:numId w:val="3"/>
      </w:numPr>
      <w:contextualSpacing/>
    </w:pPr>
  </w:style>
  <w:style w:type="paragraph" w:styleId="ListBullet4">
    <w:name w:val="List Bullet 4"/>
    <w:basedOn w:val="Normal"/>
    <w:uiPriority w:val="99"/>
    <w:semiHidden/>
    <w:unhideWhenUsed/>
    <w:rsid w:val="00634CA8"/>
    <w:pPr>
      <w:numPr>
        <w:numId w:val="4"/>
      </w:numPr>
      <w:contextualSpacing/>
    </w:pPr>
  </w:style>
  <w:style w:type="paragraph" w:styleId="ListBullet5">
    <w:name w:val="List Bullet 5"/>
    <w:basedOn w:val="Normal"/>
    <w:uiPriority w:val="99"/>
    <w:semiHidden/>
    <w:unhideWhenUsed/>
    <w:rsid w:val="00634CA8"/>
    <w:pPr>
      <w:numPr>
        <w:numId w:val="5"/>
      </w:numPr>
      <w:contextualSpacing/>
    </w:pPr>
  </w:style>
  <w:style w:type="paragraph" w:styleId="ListContinue">
    <w:name w:val="List Continue"/>
    <w:basedOn w:val="Normal"/>
    <w:uiPriority w:val="99"/>
    <w:semiHidden/>
    <w:unhideWhenUsed/>
    <w:rsid w:val="00634CA8"/>
    <w:pPr>
      <w:spacing w:after="120"/>
      <w:ind w:left="360"/>
      <w:contextualSpacing/>
    </w:pPr>
  </w:style>
  <w:style w:type="paragraph" w:styleId="ListContinue2">
    <w:name w:val="List Continue 2"/>
    <w:basedOn w:val="Normal"/>
    <w:uiPriority w:val="99"/>
    <w:semiHidden/>
    <w:unhideWhenUsed/>
    <w:rsid w:val="00634CA8"/>
    <w:pPr>
      <w:spacing w:after="120"/>
      <w:ind w:left="720"/>
      <w:contextualSpacing/>
    </w:pPr>
  </w:style>
  <w:style w:type="paragraph" w:styleId="ListContinue3">
    <w:name w:val="List Continue 3"/>
    <w:basedOn w:val="Normal"/>
    <w:uiPriority w:val="99"/>
    <w:semiHidden/>
    <w:unhideWhenUsed/>
    <w:rsid w:val="00634CA8"/>
    <w:pPr>
      <w:spacing w:after="120"/>
      <w:ind w:left="1080"/>
      <w:contextualSpacing/>
    </w:pPr>
  </w:style>
  <w:style w:type="paragraph" w:styleId="ListContinue4">
    <w:name w:val="List Continue 4"/>
    <w:basedOn w:val="Normal"/>
    <w:uiPriority w:val="99"/>
    <w:semiHidden/>
    <w:unhideWhenUsed/>
    <w:rsid w:val="00634CA8"/>
    <w:pPr>
      <w:spacing w:after="120"/>
      <w:ind w:left="1440"/>
      <w:contextualSpacing/>
    </w:pPr>
  </w:style>
  <w:style w:type="paragraph" w:styleId="ListContinue5">
    <w:name w:val="List Continue 5"/>
    <w:basedOn w:val="Normal"/>
    <w:uiPriority w:val="99"/>
    <w:semiHidden/>
    <w:unhideWhenUsed/>
    <w:rsid w:val="00634CA8"/>
    <w:pPr>
      <w:spacing w:after="120"/>
      <w:ind w:left="1800"/>
      <w:contextualSpacing/>
    </w:pPr>
  </w:style>
  <w:style w:type="paragraph" w:styleId="ListNumber">
    <w:name w:val="List Number"/>
    <w:basedOn w:val="Normal"/>
    <w:uiPriority w:val="99"/>
    <w:semiHidden/>
    <w:unhideWhenUsed/>
    <w:rsid w:val="00634CA8"/>
    <w:pPr>
      <w:numPr>
        <w:numId w:val="6"/>
      </w:numPr>
      <w:contextualSpacing/>
    </w:pPr>
  </w:style>
  <w:style w:type="paragraph" w:styleId="ListNumber2">
    <w:name w:val="List Number 2"/>
    <w:basedOn w:val="Normal"/>
    <w:uiPriority w:val="99"/>
    <w:semiHidden/>
    <w:unhideWhenUsed/>
    <w:rsid w:val="00634CA8"/>
    <w:pPr>
      <w:numPr>
        <w:numId w:val="7"/>
      </w:numPr>
      <w:contextualSpacing/>
    </w:pPr>
  </w:style>
  <w:style w:type="paragraph" w:styleId="ListNumber3">
    <w:name w:val="List Number 3"/>
    <w:basedOn w:val="Normal"/>
    <w:uiPriority w:val="99"/>
    <w:semiHidden/>
    <w:unhideWhenUsed/>
    <w:rsid w:val="00634CA8"/>
    <w:pPr>
      <w:numPr>
        <w:numId w:val="8"/>
      </w:numPr>
      <w:contextualSpacing/>
    </w:pPr>
  </w:style>
  <w:style w:type="paragraph" w:styleId="ListNumber4">
    <w:name w:val="List Number 4"/>
    <w:basedOn w:val="Normal"/>
    <w:uiPriority w:val="99"/>
    <w:semiHidden/>
    <w:unhideWhenUsed/>
    <w:rsid w:val="00634CA8"/>
    <w:pPr>
      <w:numPr>
        <w:numId w:val="9"/>
      </w:numPr>
      <w:contextualSpacing/>
    </w:pPr>
  </w:style>
  <w:style w:type="paragraph" w:styleId="ListNumber5">
    <w:name w:val="List Number 5"/>
    <w:basedOn w:val="Normal"/>
    <w:uiPriority w:val="99"/>
    <w:semiHidden/>
    <w:unhideWhenUsed/>
    <w:rsid w:val="00634CA8"/>
    <w:pPr>
      <w:numPr>
        <w:numId w:val="10"/>
      </w:numPr>
      <w:contextualSpacing/>
    </w:pPr>
  </w:style>
  <w:style w:type="paragraph" w:styleId="MacroText">
    <w:name w:val="macro"/>
    <w:link w:val="MacroTextChar"/>
    <w:uiPriority w:val="99"/>
    <w:semiHidden/>
    <w:unhideWhenUsed/>
    <w:rsid w:val="00634CA8"/>
    <w:pPr>
      <w:tabs>
        <w:tab w:val="left" w:pos="480"/>
        <w:tab w:val="left" w:pos="960"/>
        <w:tab w:val="left" w:pos="1440"/>
        <w:tab w:val="left" w:pos="1920"/>
        <w:tab w:val="left" w:pos="2400"/>
        <w:tab w:val="left" w:pos="2880"/>
        <w:tab w:val="left" w:pos="3360"/>
        <w:tab w:val="left" w:pos="3840"/>
        <w:tab w:val="left" w:pos="4320"/>
      </w:tabs>
      <w:spacing w:before="100" w:after="0" w:line="276" w:lineRule="auto"/>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634CA8"/>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634CA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34CA8"/>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634CA8"/>
    <w:rPr>
      <w:rFonts w:ascii="Times New Roman" w:hAnsi="Times New Roman" w:cs="Times New Roman"/>
      <w:szCs w:val="24"/>
    </w:rPr>
  </w:style>
  <w:style w:type="paragraph" w:styleId="NormalIndent">
    <w:name w:val="Normal Indent"/>
    <w:basedOn w:val="Normal"/>
    <w:uiPriority w:val="99"/>
    <w:semiHidden/>
    <w:unhideWhenUsed/>
    <w:rsid w:val="00634CA8"/>
    <w:pPr>
      <w:ind w:left="720"/>
    </w:pPr>
  </w:style>
  <w:style w:type="paragraph" w:styleId="NoteHeading">
    <w:name w:val="Note Heading"/>
    <w:basedOn w:val="Normal"/>
    <w:next w:val="Normal"/>
    <w:link w:val="NoteHeadingChar"/>
    <w:uiPriority w:val="99"/>
    <w:semiHidden/>
    <w:unhideWhenUsed/>
    <w:rsid w:val="00634CA8"/>
    <w:pPr>
      <w:spacing w:before="0" w:after="0" w:line="240" w:lineRule="auto"/>
    </w:pPr>
  </w:style>
  <w:style w:type="character" w:customStyle="1" w:styleId="NoteHeadingChar">
    <w:name w:val="Note Heading Char"/>
    <w:basedOn w:val="DefaultParagraphFont"/>
    <w:link w:val="NoteHeading"/>
    <w:uiPriority w:val="99"/>
    <w:semiHidden/>
    <w:rsid w:val="00634CA8"/>
    <w:rPr>
      <w:rFonts w:eastAsiaTheme="minorEastAsia"/>
      <w:sz w:val="24"/>
      <w:szCs w:val="20"/>
    </w:rPr>
  </w:style>
  <w:style w:type="paragraph" w:styleId="PlainText">
    <w:name w:val="Plain Text"/>
    <w:basedOn w:val="Normal"/>
    <w:link w:val="PlainTextChar"/>
    <w:uiPriority w:val="99"/>
    <w:semiHidden/>
    <w:unhideWhenUsed/>
    <w:rsid w:val="00634CA8"/>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4CA8"/>
    <w:rPr>
      <w:rFonts w:ascii="Consolas" w:eastAsiaTheme="minorEastAsia" w:hAnsi="Consolas"/>
      <w:sz w:val="21"/>
      <w:szCs w:val="21"/>
    </w:rPr>
  </w:style>
  <w:style w:type="paragraph" w:styleId="Salutation">
    <w:name w:val="Salutation"/>
    <w:basedOn w:val="Normal"/>
    <w:next w:val="Normal"/>
    <w:link w:val="SalutationChar"/>
    <w:uiPriority w:val="99"/>
    <w:semiHidden/>
    <w:unhideWhenUsed/>
    <w:rsid w:val="00634CA8"/>
  </w:style>
  <w:style w:type="character" w:customStyle="1" w:styleId="SalutationChar">
    <w:name w:val="Salutation Char"/>
    <w:basedOn w:val="DefaultParagraphFont"/>
    <w:link w:val="Salutation"/>
    <w:uiPriority w:val="99"/>
    <w:semiHidden/>
    <w:rsid w:val="00634CA8"/>
    <w:rPr>
      <w:rFonts w:eastAsiaTheme="minorEastAsia"/>
      <w:sz w:val="24"/>
      <w:szCs w:val="20"/>
    </w:rPr>
  </w:style>
  <w:style w:type="paragraph" w:styleId="Signature">
    <w:name w:val="Signature"/>
    <w:basedOn w:val="Normal"/>
    <w:link w:val="SignatureChar"/>
    <w:uiPriority w:val="99"/>
    <w:semiHidden/>
    <w:unhideWhenUsed/>
    <w:rsid w:val="00634CA8"/>
    <w:pPr>
      <w:spacing w:before="0" w:after="0" w:line="240" w:lineRule="auto"/>
      <w:ind w:left="4320"/>
    </w:pPr>
  </w:style>
  <w:style w:type="character" w:customStyle="1" w:styleId="SignatureChar">
    <w:name w:val="Signature Char"/>
    <w:basedOn w:val="DefaultParagraphFont"/>
    <w:link w:val="Signature"/>
    <w:uiPriority w:val="99"/>
    <w:semiHidden/>
    <w:rsid w:val="00634CA8"/>
    <w:rPr>
      <w:rFonts w:eastAsiaTheme="minorEastAsia"/>
      <w:sz w:val="24"/>
      <w:szCs w:val="20"/>
    </w:rPr>
  </w:style>
  <w:style w:type="paragraph" w:styleId="TableofAuthorities">
    <w:name w:val="table of authorities"/>
    <w:basedOn w:val="Normal"/>
    <w:next w:val="Normal"/>
    <w:uiPriority w:val="99"/>
    <w:semiHidden/>
    <w:unhideWhenUsed/>
    <w:rsid w:val="00634CA8"/>
    <w:pPr>
      <w:spacing w:after="0"/>
      <w:ind w:left="240" w:hanging="240"/>
    </w:pPr>
  </w:style>
  <w:style w:type="paragraph" w:styleId="TableofFigures">
    <w:name w:val="table of figures"/>
    <w:basedOn w:val="Normal"/>
    <w:next w:val="Normal"/>
    <w:uiPriority w:val="99"/>
    <w:semiHidden/>
    <w:unhideWhenUsed/>
    <w:rsid w:val="00634CA8"/>
    <w:pPr>
      <w:spacing w:after="0"/>
    </w:pPr>
  </w:style>
  <w:style w:type="paragraph" w:styleId="TOAHeading">
    <w:name w:val="toa heading"/>
    <w:basedOn w:val="Normal"/>
    <w:next w:val="Normal"/>
    <w:uiPriority w:val="99"/>
    <w:semiHidden/>
    <w:unhideWhenUsed/>
    <w:rsid w:val="00634CA8"/>
    <w:pPr>
      <w:spacing w:before="120"/>
    </w:pPr>
    <w:rPr>
      <w:rFonts w:asciiTheme="majorHAnsi" w:eastAsiaTheme="majorEastAsia" w:hAnsiTheme="majorHAnsi" w:cstheme="majorBidi"/>
      <w:b/>
      <w:bCs/>
      <w:szCs w:val="24"/>
    </w:rPr>
  </w:style>
  <w:style w:type="paragraph" w:customStyle="1" w:styleId="TableParagraph">
    <w:name w:val="Table Paragraph"/>
    <w:basedOn w:val="Normal"/>
    <w:uiPriority w:val="1"/>
    <w:qFormat/>
    <w:rsid w:val="004C4B2E"/>
    <w:pPr>
      <w:widowControl w:val="0"/>
      <w:autoSpaceDE w:val="0"/>
      <w:autoSpaceDN w:val="0"/>
      <w:spacing w:before="0" w:after="0" w:line="240" w:lineRule="auto"/>
    </w:pPr>
    <w:rPr>
      <w:rFonts w:ascii="Arial" w:eastAsia="Arial" w:hAnsi="Arial" w:cs="Arial"/>
      <w:sz w:val="22"/>
      <w:szCs w:val="22"/>
    </w:rPr>
  </w:style>
  <w:style w:type="character" w:styleId="CommentReference">
    <w:name w:val="annotation reference"/>
    <w:uiPriority w:val="99"/>
    <w:rsid w:val="00841E87"/>
    <w:rPr>
      <w:sz w:val="16"/>
      <w:szCs w:val="16"/>
    </w:rPr>
  </w:style>
  <w:style w:type="character" w:customStyle="1" w:styleId="apple-tab-span">
    <w:name w:val="apple-tab-span"/>
    <w:basedOn w:val="DefaultParagraphFont"/>
    <w:rsid w:val="0052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tiff"/></Relationships>
</file>

<file path=word/_rels/footer1.xml.rels><?xml version="1.0" encoding="UTF-8" standalone="yes"?>
<Relationships xmlns="http://schemas.openxmlformats.org/package/2006/relationships"><Relationship Id="rId2" Type="http://schemas.openxmlformats.org/officeDocument/2006/relationships/image" Target="cid:0400434D-A477-4223-BA8F-AA40434F2FDC@Hom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0400434D-A477-4223-BA8F-AA40434F2FDC@Ho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6E2B-EB4D-49EA-8EAA-0BCEC6EF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40</Pages>
  <Words>9315</Words>
  <Characters>54092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Hixon</dc:creator>
  <cp:keywords/>
  <dc:description/>
  <cp:lastModifiedBy>Michelle Hixon</cp:lastModifiedBy>
  <cp:revision>133</cp:revision>
  <cp:lastPrinted>2019-05-15T15:20:00Z</cp:lastPrinted>
  <dcterms:created xsi:type="dcterms:W3CDTF">2019-05-14T19:37:00Z</dcterms:created>
  <dcterms:modified xsi:type="dcterms:W3CDTF">2019-05-15T19:12:00Z</dcterms:modified>
</cp:coreProperties>
</file>