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K2 LITERACY SPECIALIST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BUILDING PRINCIPAL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CERTIFIED SALARY SCHEDULE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186 DAYS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20XX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alid Kentucky certification.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implement by instruction and action the district’s philosophy of education and instructional goals and objectives.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systems that enable shared leadership among teachers in K-2 classrooms with literacy practices.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and monitor systems that enable students and teachers to understand current literacy realities for each student.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lesson plans and instructional materials and provide individualized or small group instruction in order to adapt the curriculum to the needs and learning styles of each student.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Translate lesson plans into learning experiences to best utilize the available time for instruction.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 standards of student conduct needed to achieve an effective learning atmosphere in the classroom.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 student’s academic, behavioral, and social growth, keeps appropriate records, and prepare progress reports on a regular basis.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students and parents through conferences and other means to discuss student’s progress and interpret the school program.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Identify students needs and cooperate with other professional staff members in assessing and helping students solve health, attitude and learning problems.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professional competence through professional staff development activities provided by the district and/or self-selected professional growth activities.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collaboratively with administrators in the evaluation process.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hanging="72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Selects   Select and requisition instructional materials; maintain required inventory records.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Administer assessments in accordance with the district assessment program.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curriculum development programs as required.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faculty meetings, team meetings, departmental meetings, committees and the sponsorship of student co-curricular activities as assigned.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Employ a variety of instructional techniques, strategies and media, consistent with the needs and capabilities of the individuals or student groups involved.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Accept responsibility for appropriate utilization of and the care of equipment, materials and facilities.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Implement authentic instruction, and continuous assessment.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positive interpersonal and communication skills, with students, parents and staff.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Professional Code of Ethics for Kentucky Certified Personnel 16 KAR 1:020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Curriculum, instruction and assessments.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Record keeping techniques.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Operation of computer and technology ancillaries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Verbal and written communication skills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Laws, rules and statutory regulations related to assigned activities.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Policies and objectives of assigned program and activities.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Pedagogy and technical aspects of field of specialty.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Prioritize and schedule work.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Determine appropriate action within clearly defined guidelines.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independently with little direction.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Meet schedules and timelines.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light weights. 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