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BENEFITS SPECIALIST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CHIEF FINANCIAL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7665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Bachelor’s Degree in Business, Human Resources, or a related area preferred.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Two years of bookkeeping, payroll, or human resources experience.  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Responsible for the implementation and maintenance of the employee benefits program; coordinate enrollment in employee benefits; counsel employees as to benefits and options; and maintain appropriate records.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Act as a subject matter expert on all District benefit plans including; Board-paid benefits, State-paid benefits, and voluntary benefit plans.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Stay abreast of statutes, regulations, rules, and district policies pertaining to employee benefits.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implementation of the retirement benefit compensation program, including preparation, processing and maintenance of appropriate applications, reports, and records.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the annual renewal and open enrollment processes, including the development and communication of educational materials, meetings, and set-up and management of the electronic open enrollment system.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Supervise the distribution of employee benefits information and assist employees and applicants with processing enrollments and forms for various benefits.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closely with vendors to insure employees are taking advantage of their benefits plans.  Assist in the coordination of employee wellness plans.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Analyze employee separations and terminations and prepare documentation and information for unemployment hearings; attend hearings as required.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Organize and attend benefit workshops and seminars to increase current knowledge.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Compute annual vacation and sick leave allowances; Communicate with District personnel regarding insurance coverage and leave time.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employee attendance records; verify and input individual sick leave and vacation allowances and usage; distribute related lists and notices as needed.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compliance with the Affordable Care Act including tracking hours and eligibility and distribution of annual form 1095-C and 1094 transmission.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Achieve financial objectives by reconciling benefit accounts and billing statements.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and implement Student Accident policies and practices across the District.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the implementation of Workers’ Compensation procedures across the District.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HIPAA, COBRA, ADA, ACA, FMLA, and other applicable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MUNIS, TalentEd, Veritime, and Aesop.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Strong organizational skills and proven ability to communicate effectively orally and in writing.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High detail orientation; self-directed and self-motivated; able to work in a fast paced environment.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Skills in problem solving and decision making.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